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附件3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惠州市公立医疗机构单颗常规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种植牙医疗服务价格调控表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4" w:hRule="atLeast"/>
        </w:trPr>
        <w:tc>
          <w:tcPr>
            <w:tcW w:w="42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机构等级</w:t>
            </w:r>
          </w:p>
        </w:tc>
        <w:tc>
          <w:tcPr>
            <w:tcW w:w="42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公立医疗机构调控总价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29" w:hRule="atLeast"/>
        </w:trPr>
        <w:tc>
          <w:tcPr>
            <w:tcW w:w="42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三级公立医疗机构</w:t>
            </w:r>
          </w:p>
        </w:tc>
        <w:tc>
          <w:tcPr>
            <w:tcW w:w="42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4320元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59" w:hRule="atLeast"/>
        </w:trPr>
        <w:tc>
          <w:tcPr>
            <w:tcW w:w="42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二级公立医疗机构</w:t>
            </w:r>
          </w:p>
        </w:tc>
        <w:tc>
          <w:tcPr>
            <w:tcW w:w="42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3974.4元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69" w:hRule="atLeast"/>
        </w:trPr>
        <w:tc>
          <w:tcPr>
            <w:tcW w:w="42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一级公立医疗机构</w:t>
            </w:r>
          </w:p>
        </w:tc>
        <w:tc>
          <w:tcPr>
            <w:tcW w:w="42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3656.4元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59" w:hRule="atLeast"/>
        </w:trPr>
        <w:tc>
          <w:tcPr>
            <w:tcW w:w="852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民营医疗机构承诺响应单颗常规种植牙全流程医疗服务价格调控的，应按相应等级公立医疗机构的调控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总价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定价（未定级民营医疗机构参照一级公立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医疗机构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调控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总价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执行）。</w:t>
            </w: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543F6"/>
    <w:rsid w:val="6F85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2023-03-02T04:28:04Z</dcterms:created>
  <dc:creator>user12</dc:creator>
  <cp:lastModifiedBy>周丽</cp:lastModifiedBy>
  <dcterms:modified xsi:type="dcterms:W3CDTF">2023-03-02T04:40:19Z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2B68A987E1E64B5DACD6CD10FE6108ED</vt:lpwstr>
  </property>
</Properties>
</file>