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病理系统运维服务</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0"/>
          <w:szCs w:val="30"/>
          <w:highlight w:val="none"/>
          <w:lang w:eastAsia="zh-CN"/>
        </w:rPr>
        <w:t>惠州市第六人民医院病理系统运维服务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bookmarkStart w:id="1" w:name="_GoBack"/>
      <w:bookmarkEnd w:id="1"/>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843"/>
        <w:gridCol w:w="3333"/>
        <w:gridCol w:w="93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病理</w:t>
            </w:r>
            <w:r>
              <w:rPr>
                <w:rFonts w:hint="eastAsia" w:ascii="方正仿宋_GBK" w:hAnsi="方正仿宋_GBK" w:eastAsia="方正仿宋_GBK" w:cs="方正仿宋_GBK"/>
                <w:sz w:val="32"/>
                <w:szCs w:val="32"/>
              </w:rPr>
              <w:t>系统运维服务</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病理系统运维</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每年6万</w:t>
            </w: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keepNext w:val="0"/>
        <w:keepLines w:val="0"/>
        <w:pageBreakBefore w:val="0"/>
        <w:numPr>
          <w:ilvl w:val="0"/>
          <w:numId w:val="2"/>
        </w:numPr>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详细技术要求</w:t>
      </w:r>
    </w:p>
    <w:p>
      <w:pPr>
        <w:keepNext w:val="0"/>
        <w:keepLines w:val="0"/>
        <w:pageBreakBefore w:val="0"/>
        <w:numPr>
          <w:ilvl w:val="0"/>
          <w:numId w:val="0"/>
        </w:numPr>
        <w:kinsoku/>
        <w:wordWrap/>
        <w:overflowPunct/>
        <w:topLinePunct w:val="0"/>
        <w:bidi w:val="0"/>
        <w:spacing w:after="0" w:line="580" w:lineRule="exact"/>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kern w:val="2"/>
          <w:sz w:val="32"/>
          <w:szCs w:val="32"/>
        </w:rPr>
        <w:t>本次服务费用明细包含以下内容，需进行项目整体报价</w:t>
      </w:r>
    </w:p>
    <w:tbl>
      <w:tblPr>
        <w:tblStyle w:val="10"/>
        <w:tblW w:w="54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03"/>
        <w:gridCol w:w="713"/>
        <w:gridCol w:w="781"/>
        <w:gridCol w:w="3079"/>
        <w:gridCol w:w="936"/>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17" w:type="dxa"/>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序号</w:t>
            </w:r>
          </w:p>
        </w:tc>
        <w:tc>
          <w:tcPr>
            <w:tcW w:w="1603" w:type="dxa"/>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品目名称</w:t>
            </w:r>
          </w:p>
        </w:tc>
        <w:tc>
          <w:tcPr>
            <w:tcW w:w="713" w:type="dxa"/>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单位</w:t>
            </w:r>
          </w:p>
        </w:tc>
        <w:tc>
          <w:tcPr>
            <w:tcW w:w="781" w:type="dxa"/>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数量</w:t>
            </w:r>
          </w:p>
        </w:tc>
        <w:tc>
          <w:tcPr>
            <w:tcW w:w="3079" w:type="dxa"/>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参数要求</w:t>
            </w:r>
          </w:p>
        </w:tc>
        <w:tc>
          <w:tcPr>
            <w:tcW w:w="936" w:type="dxa"/>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单价（元）</w:t>
            </w:r>
          </w:p>
        </w:tc>
        <w:tc>
          <w:tcPr>
            <w:tcW w:w="1442" w:type="dxa"/>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Merge w:val="restart"/>
            <w:vAlign w:val="center"/>
          </w:tcPr>
          <w:p>
            <w:pPr>
              <w:spacing w:after="0" w:line="580" w:lineRule="exact"/>
              <w:jc w:val="both"/>
              <w:rPr>
                <w:rFonts w:ascii="仿宋" w:hAnsi="仿宋" w:eastAsia="仿宋" w:cs="方正仿宋_GBK"/>
                <w:sz w:val="24"/>
                <w:szCs w:val="24"/>
              </w:rPr>
            </w:pPr>
            <w:r>
              <w:rPr>
                <w:rFonts w:hint="eastAsia" w:ascii="仿宋" w:hAnsi="仿宋" w:eastAsia="仿宋" w:cs="方正仿宋_GBK"/>
                <w:sz w:val="24"/>
                <w:szCs w:val="24"/>
              </w:rPr>
              <w:t>1</w:t>
            </w:r>
          </w:p>
        </w:tc>
        <w:tc>
          <w:tcPr>
            <w:tcW w:w="1603" w:type="dxa"/>
            <w:vMerge w:val="restart"/>
            <w:vAlign w:val="center"/>
          </w:tcPr>
          <w:p>
            <w:pPr>
              <w:spacing w:after="0"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病理系统运维服务</w:t>
            </w:r>
          </w:p>
        </w:tc>
        <w:tc>
          <w:tcPr>
            <w:tcW w:w="713" w:type="dxa"/>
            <w:vMerge w:val="restart"/>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年</w:t>
            </w:r>
          </w:p>
        </w:tc>
        <w:tc>
          <w:tcPr>
            <w:tcW w:w="781" w:type="dxa"/>
            <w:vMerge w:val="restart"/>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079" w:type="dxa"/>
            <w:vAlign w:val="center"/>
          </w:tcPr>
          <w:p>
            <w:pPr>
              <w:rPr>
                <w:rFonts w:ascii="仿宋" w:hAnsi="仿宋" w:eastAsia="仿宋"/>
                <w:sz w:val="24"/>
                <w:szCs w:val="24"/>
              </w:rPr>
            </w:pPr>
            <w:r>
              <w:rPr>
                <w:rFonts w:hint="eastAsia" w:ascii="仿宋" w:hAnsi="仿宋" w:eastAsia="仿宋"/>
                <w:sz w:val="24"/>
                <w:szCs w:val="24"/>
              </w:rPr>
              <w:t>1、维保服务范围</w:t>
            </w:r>
          </w:p>
          <w:p>
            <w:pPr>
              <w:rPr>
                <w:rFonts w:ascii="仿宋" w:hAnsi="仿宋" w:eastAsia="仿宋"/>
                <w:sz w:val="24"/>
                <w:szCs w:val="24"/>
              </w:rPr>
            </w:pPr>
            <w:r>
              <w:rPr>
                <w:rFonts w:hint="eastAsia" w:ascii="仿宋" w:hAnsi="仿宋" w:eastAsia="仿宋"/>
                <w:sz w:val="24"/>
                <w:szCs w:val="24"/>
              </w:rPr>
              <w:t>1）维保服务产品为惠州市第六人民医院病理科使用的病理质控与资料管理系统软件；</w:t>
            </w:r>
          </w:p>
          <w:p>
            <w:pPr>
              <w:rPr>
                <w:rFonts w:ascii="仿宋" w:hAnsi="仿宋" w:eastAsia="仿宋"/>
                <w:sz w:val="24"/>
                <w:szCs w:val="24"/>
              </w:rPr>
            </w:pPr>
            <w:r>
              <w:rPr>
                <w:rFonts w:hint="eastAsia" w:ascii="仿宋" w:hAnsi="仿宋" w:eastAsia="仿宋"/>
                <w:sz w:val="24"/>
                <w:szCs w:val="24"/>
              </w:rPr>
              <w:t>2）维保服务包括上海朗珈公司已提供给惠州市第六人民医院病理科使用的所有工作站点软件系统（包括报告站及相关技术站点等）。</w:t>
            </w:r>
          </w:p>
          <w:p>
            <w:pPr>
              <w:rPr>
                <w:rFonts w:hint="eastAsia" w:ascii="仿宋" w:hAnsi="仿宋" w:eastAsia="仿宋"/>
                <w:sz w:val="24"/>
                <w:szCs w:val="24"/>
              </w:rPr>
            </w:pPr>
            <w:r>
              <w:rPr>
                <w:rFonts w:hint="eastAsia" w:ascii="仿宋" w:hAnsi="仿宋" w:eastAsia="仿宋"/>
                <w:sz w:val="24"/>
                <w:szCs w:val="24"/>
              </w:rPr>
              <w:t>3）维保</w:t>
            </w:r>
            <w:r>
              <w:rPr>
                <w:rFonts w:ascii="仿宋" w:hAnsi="仿宋" w:eastAsia="仿宋"/>
                <w:sz w:val="24"/>
                <w:szCs w:val="24"/>
              </w:rPr>
              <w:t>期内免工时费</w:t>
            </w:r>
            <w:r>
              <w:rPr>
                <w:rFonts w:hint="eastAsia" w:ascii="仿宋" w:hAnsi="仿宋" w:eastAsia="仿宋"/>
                <w:sz w:val="24"/>
                <w:szCs w:val="24"/>
              </w:rPr>
              <w:t>。</w:t>
            </w:r>
          </w:p>
        </w:tc>
        <w:tc>
          <w:tcPr>
            <w:tcW w:w="936" w:type="dxa"/>
            <w:vMerge w:val="restart"/>
            <w:vAlign w:val="center"/>
          </w:tcPr>
          <w:p>
            <w:pPr>
              <w:spacing w:after="0" w:line="580" w:lineRule="exact"/>
              <w:jc w:val="center"/>
              <w:rPr>
                <w:rFonts w:ascii="仿宋" w:hAnsi="仿宋" w:eastAsia="仿宋" w:cs="方正仿宋_GBK"/>
                <w:sz w:val="24"/>
                <w:szCs w:val="24"/>
              </w:rPr>
            </w:pPr>
          </w:p>
        </w:tc>
        <w:tc>
          <w:tcPr>
            <w:tcW w:w="1442" w:type="dxa"/>
            <w:vAlign w:val="center"/>
          </w:tcPr>
          <w:p>
            <w:pPr>
              <w:spacing w:after="0" w:line="580" w:lineRule="exact"/>
              <w:jc w:val="center"/>
              <w:rPr>
                <w:rFonts w:ascii="仿宋" w:hAnsi="仿宋" w:eastAsia="仿宋"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Merge w:val="continue"/>
            <w:vAlign w:val="center"/>
          </w:tcPr>
          <w:p>
            <w:pPr>
              <w:spacing w:after="0" w:line="580" w:lineRule="exact"/>
              <w:jc w:val="both"/>
              <w:rPr>
                <w:rFonts w:hint="eastAsia" w:ascii="仿宋" w:hAnsi="仿宋" w:eastAsia="仿宋" w:cs="方正仿宋_GBK"/>
                <w:sz w:val="24"/>
                <w:szCs w:val="24"/>
              </w:rPr>
            </w:pPr>
          </w:p>
        </w:tc>
        <w:tc>
          <w:tcPr>
            <w:tcW w:w="1603" w:type="dxa"/>
            <w:vMerge w:val="continue"/>
            <w:vAlign w:val="center"/>
          </w:tcPr>
          <w:p>
            <w:pPr>
              <w:spacing w:line="360" w:lineRule="auto"/>
              <w:jc w:val="center"/>
              <w:rPr>
                <w:rFonts w:hint="eastAsia" w:ascii="仿宋" w:hAnsi="仿宋" w:eastAsia="仿宋"/>
                <w:color w:val="000000"/>
                <w:sz w:val="24"/>
                <w:szCs w:val="24"/>
              </w:rPr>
            </w:pPr>
          </w:p>
        </w:tc>
        <w:tc>
          <w:tcPr>
            <w:tcW w:w="713" w:type="dxa"/>
            <w:vMerge w:val="continue"/>
            <w:vAlign w:val="center"/>
          </w:tcPr>
          <w:p>
            <w:pPr>
              <w:spacing w:line="360" w:lineRule="auto"/>
              <w:jc w:val="center"/>
              <w:rPr>
                <w:rFonts w:hint="eastAsia" w:ascii="仿宋" w:hAnsi="仿宋" w:eastAsia="仿宋"/>
                <w:color w:val="000000"/>
                <w:sz w:val="24"/>
                <w:szCs w:val="24"/>
              </w:rPr>
            </w:pPr>
          </w:p>
        </w:tc>
        <w:tc>
          <w:tcPr>
            <w:tcW w:w="781" w:type="dxa"/>
            <w:vMerge w:val="continue"/>
            <w:vAlign w:val="center"/>
          </w:tcPr>
          <w:p>
            <w:pPr>
              <w:spacing w:line="360" w:lineRule="auto"/>
              <w:jc w:val="center"/>
              <w:rPr>
                <w:rFonts w:hint="eastAsia" w:ascii="仿宋" w:hAnsi="仿宋" w:eastAsia="仿宋"/>
                <w:color w:val="000000"/>
                <w:sz w:val="24"/>
                <w:szCs w:val="24"/>
              </w:rPr>
            </w:pPr>
          </w:p>
        </w:tc>
        <w:tc>
          <w:tcPr>
            <w:tcW w:w="3079" w:type="dxa"/>
            <w:vAlign w:val="center"/>
          </w:tcPr>
          <w:p>
            <w:pPr>
              <w:rPr>
                <w:rFonts w:ascii="仿宋" w:hAnsi="仿宋" w:eastAsia="仿宋"/>
                <w:sz w:val="24"/>
                <w:szCs w:val="24"/>
              </w:rPr>
            </w:pPr>
            <w:r>
              <w:rPr>
                <w:rFonts w:hint="eastAsia" w:ascii="仿宋" w:hAnsi="仿宋" w:eastAsia="仿宋"/>
                <w:sz w:val="24"/>
                <w:szCs w:val="24"/>
              </w:rPr>
              <w:t>2、软件升级与调整</w:t>
            </w:r>
          </w:p>
          <w:p>
            <w:pPr>
              <w:rPr>
                <w:rFonts w:ascii="仿宋" w:hAnsi="仿宋" w:eastAsia="仿宋"/>
                <w:sz w:val="24"/>
                <w:szCs w:val="24"/>
              </w:rPr>
            </w:pPr>
            <w:r>
              <w:rPr>
                <w:rFonts w:hint="eastAsia" w:ascii="仿宋" w:hAnsi="仿宋" w:eastAsia="仿宋"/>
                <w:sz w:val="24"/>
                <w:szCs w:val="24"/>
              </w:rPr>
              <w:t>1）供应商有义务对系统软件的错误进行免费的修改完善；对于一般性的软件问题，供应商应在10个工作日内解决；对于特殊性的软件问题，在取得用户谅解情况下，可以适当延长解决期限；</w:t>
            </w:r>
          </w:p>
          <w:p>
            <w:pPr>
              <w:rPr>
                <w:rFonts w:hint="eastAsia" w:ascii="仿宋" w:hAnsi="仿宋" w:eastAsia="仿宋"/>
                <w:sz w:val="24"/>
                <w:szCs w:val="24"/>
              </w:rPr>
            </w:pPr>
            <w:r>
              <w:rPr>
                <w:rFonts w:hint="eastAsia" w:ascii="仿宋" w:hAnsi="仿宋" w:eastAsia="仿宋"/>
                <w:sz w:val="24"/>
                <w:szCs w:val="24"/>
              </w:rPr>
              <w:t>2）供应商对软件提供免费的升级和调整服务，对用户提出的合理要求，供应商应尽量满足。</w:t>
            </w:r>
          </w:p>
        </w:tc>
        <w:tc>
          <w:tcPr>
            <w:tcW w:w="936" w:type="dxa"/>
            <w:vMerge w:val="continue"/>
            <w:vAlign w:val="center"/>
          </w:tcPr>
          <w:p>
            <w:pPr>
              <w:spacing w:after="0" w:line="580" w:lineRule="exact"/>
              <w:jc w:val="both"/>
              <w:rPr>
                <w:rFonts w:ascii="仿宋" w:hAnsi="仿宋" w:eastAsia="仿宋" w:cs="方正仿宋_GBK"/>
                <w:sz w:val="24"/>
                <w:szCs w:val="24"/>
              </w:rPr>
            </w:pPr>
          </w:p>
        </w:tc>
        <w:tc>
          <w:tcPr>
            <w:tcW w:w="1442" w:type="dxa"/>
            <w:vAlign w:val="center"/>
          </w:tcPr>
          <w:p>
            <w:pPr>
              <w:spacing w:after="0" w:line="580" w:lineRule="exact"/>
              <w:jc w:val="both"/>
              <w:rPr>
                <w:rFonts w:ascii="仿宋" w:hAnsi="仿宋" w:eastAsia="仿宋"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Merge w:val="continue"/>
            <w:vAlign w:val="center"/>
          </w:tcPr>
          <w:p>
            <w:pPr>
              <w:spacing w:after="0" w:line="580" w:lineRule="exact"/>
              <w:jc w:val="both"/>
              <w:rPr>
                <w:rFonts w:hint="eastAsia" w:ascii="仿宋" w:hAnsi="仿宋" w:eastAsia="仿宋" w:cs="方正仿宋_GBK"/>
                <w:sz w:val="24"/>
                <w:szCs w:val="24"/>
              </w:rPr>
            </w:pPr>
          </w:p>
        </w:tc>
        <w:tc>
          <w:tcPr>
            <w:tcW w:w="1603" w:type="dxa"/>
            <w:vMerge w:val="continue"/>
            <w:vAlign w:val="center"/>
          </w:tcPr>
          <w:p>
            <w:pPr>
              <w:spacing w:line="360" w:lineRule="auto"/>
              <w:jc w:val="center"/>
              <w:rPr>
                <w:rFonts w:hint="eastAsia" w:ascii="仿宋" w:hAnsi="仿宋" w:eastAsia="仿宋"/>
                <w:color w:val="000000"/>
                <w:sz w:val="24"/>
                <w:szCs w:val="24"/>
              </w:rPr>
            </w:pPr>
          </w:p>
        </w:tc>
        <w:tc>
          <w:tcPr>
            <w:tcW w:w="713" w:type="dxa"/>
            <w:vMerge w:val="continue"/>
            <w:vAlign w:val="center"/>
          </w:tcPr>
          <w:p>
            <w:pPr>
              <w:spacing w:line="360" w:lineRule="auto"/>
              <w:jc w:val="center"/>
              <w:rPr>
                <w:rFonts w:hint="eastAsia" w:ascii="仿宋" w:hAnsi="仿宋" w:eastAsia="仿宋"/>
                <w:color w:val="000000"/>
                <w:sz w:val="24"/>
                <w:szCs w:val="24"/>
              </w:rPr>
            </w:pPr>
          </w:p>
        </w:tc>
        <w:tc>
          <w:tcPr>
            <w:tcW w:w="781" w:type="dxa"/>
            <w:vMerge w:val="continue"/>
            <w:vAlign w:val="center"/>
          </w:tcPr>
          <w:p>
            <w:pPr>
              <w:spacing w:line="360" w:lineRule="auto"/>
              <w:jc w:val="center"/>
              <w:rPr>
                <w:rFonts w:hint="eastAsia" w:ascii="仿宋" w:hAnsi="仿宋" w:eastAsia="仿宋"/>
                <w:color w:val="000000"/>
                <w:sz w:val="24"/>
                <w:szCs w:val="24"/>
              </w:rPr>
            </w:pPr>
          </w:p>
        </w:tc>
        <w:tc>
          <w:tcPr>
            <w:tcW w:w="3079" w:type="dxa"/>
            <w:vAlign w:val="center"/>
          </w:tcPr>
          <w:p>
            <w:pPr>
              <w:rPr>
                <w:rFonts w:ascii="仿宋" w:hAnsi="仿宋" w:eastAsia="仿宋"/>
                <w:sz w:val="24"/>
                <w:szCs w:val="24"/>
              </w:rPr>
            </w:pPr>
            <w:r>
              <w:rPr>
                <w:rFonts w:hint="eastAsia" w:ascii="仿宋" w:hAnsi="仿宋" w:eastAsia="仿宋"/>
                <w:sz w:val="24"/>
                <w:szCs w:val="24"/>
              </w:rPr>
              <w:t>3、安全管理</w:t>
            </w:r>
          </w:p>
          <w:p>
            <w:pPr>
              <w:rPr>
                <w:rFonts w:ascii="仿宋" w:hAnsi="仿宋" w:eastAsia="仿宋"/>
                <w:sz w:val="24"/>
                <w:szCs w:val="24"/>
              </w:rPr>
            </w:pPr>
            <w:r>
              <w:rPr>
                <w:rFonts w:hint="eastAsia" w:ascii="仿宋" w:hAnsi="仿宋" w:eastAsia="仿宋"/>
                <w:sz w:val="24"/>
                <w:szCs w:val="24"/>
              </w:rPr>
              <w:t>1）供应商应配合惠州市第六人民医院的安全管理措施，建立并维护病理系统的安全机制；</w:t>
            </w:r>
          </w:p>
          <w:p>
            <w:pPr>
              <w:rPr>
                <w:rFonts w:ascii="仿宋" w:hAnsi="仿宋" w:eastAsia="仿宋"/>
                <w:sz w:val="24"/>
                <w:szCs w:val="24"/>
              </w:rPr>
            </w:pPr>
            <w:r>
              <w:rPr>
                <w:rFonts w:hint="eastAsia" w:ascii="仿宋" w:hAnsi="仿宋" w:eastAsia="仿宋"/>
                <w:sz w:val="24"/>
                <w:szCs w:val="24"/>
              </w:rPr>
              <w:t>2）供应商提供所有病理系统的安装程序和安装说明，提供系统数据备份和恢复说明；</w:t>
            </w:r>
          </w:p>
          <w:p>
            <w:pPr>
              <w:rPr>
                <w:rFonts w:ascii="仿宋" w:hAnsi="仿宋" w:eastAsia="仿宋"/>
                <w:sz w:val="24"/>
                <w:szCs w:val="24"/>
              </w:rPr>
            </w:pPr>
            <w:r>
              <w:rPr>
                <w:rFonts w:hint="eastAsia" w:ascii="仿宋" w:hAnsi="仿宋" w:eastAsia="仿宋"/>
                <w:sz w:val="24"/>
                <w:szCs w:val="24"/>
              </w:rPr>
              <w:t>3）供应商根据惠州市第六人民医院病理科的要求进行权限设置，并根据要求调整相关人员密码权限；</w:t>
            </w:r>
          </w:p>
          <w:p>
            <w:pPr>
              <w:rPr>
                <w:rFonts w:ascii="仿宋" w:hAnsi="仿宋" w:eastAsia="仿宋"/>
                <w:sz w:val="24"/>
                <w:szCs w:val="24"/>
              </w:rPr>
            </w:pPr>
            <w:r>
              <w:rPr>
                <w:rFonts w:hint="eastAsia" w:ascii="仿宋" w:hAnsi="仿宋" w:eastAsia="仿宋"/>
                <w:sz w:val="24"/>
                <w:szCs w:val="24"/>
              </w:rPr>
              <w:t>4）供应商维护服务响应时间：系统维护响应时间为1小时，在电话支持无法确定或无法解决问题时，公司维修工程师将在</w:t>
            </w:r>
            <w:r>
              <w:rPr>
                <w:rFonts w:ascii="仿宋" w:hAnsi="仿宋" w:eastAsia="仿宋"/>
                <w:sz w:val="24"/>
                <w:szCs w:val="24"/>
              </w:rPr>
              <w:t>24</w:t>
            </w:r>
            <w:r>
              <w:rPr>
                <w:rFonts w:hint="eastAsia" w:ascii="仿宋" w:hAnsi="仿宋" w:eastAsia="仿宋"/>
                <w:sz w:val="24"/>
                <w:szCs w:val="24"/>
              </w:rPr>
              <w:t>小时内到达现场维修；</w:t>
            </w:r>
          </w:p>
          <w:p>
            <w:pPr>
              <w:spacing w:after="0"/>
              <w:rPr>
                <w:rFonts w:hint="eastAsia" w:ascii="仿宋" w:hAnsi="仿宋" w:eastAsia="仿宋"/>
                <w:sz w:val="24"/>
                <w:szCs w:val="24"/>
              </w:rPr>
            </w:pPr>
            <w:r>
              <w:rPr>
                <w:rFonts w:hint="eastAsia" w:ascii="仿宋" w:hAnsi="仿宋" w:eastAsia="仿宋"/>
                <w:sz w:val="24"/>
                <w:szCs w:val="24"/>
              </w:rPr>
              <w:t>5）一般性故障解决时间为半个工作日，如遇特殊故障，供应商尽快予以解决。</w:t>
            </w:r>
          </w:p>
        </w:tc>
        <w:tc>
          <w:tcPr>
            <w:tcW w:w="936" w:type="dxa"/>
            <w:vMerge w:val="continue"/>
            <w:vAlign w:val="center"/>
          </w:tcPr>
          <w:p>
            <w:pPr>
              <w:spacing w:after="0" w:line="580" w:lineRule="exact"/>
              <w:jc w:val="both"/>
              <w:rPr>
                <w:rFonts w:ascii="仿宋" w:hAnsi="仿宋" w:eastAsia="仿宋" w:cs="方正仿宋_GBK"/>
                <w:sz w:val="24"/>
                <w:szCs w:val="24"/>
              </w:rPr>
            </w:pPr>
          </w:p>
        </w:tc>
        <w:tc>
          <w:tcPr>
            <w:tcW w:w="1442" w:type="dxa"/>
            <w:vAlign w:val="center"/>
          </w:tcPr>
          <w:p>
            <w:pPr>
              <w:spacing w:after="0" w:line="580" w:lineRule="exact"/>
              <w:jc w:val="both"/>
              <w:rPr>
                <w:rFonts w:ascii="仿宋" w:hAnsi="仿宋" w:eastAsia="仿宋"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Merge w:val="continue"/>
            <w:vAlign w:val="center"/>
          </w:tcPr>
          <w:p>
            <w:pPr>
              <w:spacing w:after="0" w:line="580" w:lineRule="exact"/>
              <w:jc w:val="both"/>
              <w:rPr>
                <w:rFonts w:hint="eastAsia" w:ascii="仿宋" w:hAnsi="仿宋" w:eastAsia="仿宋" w:cs="方正仿宋_GBK"/>
                <w:sz w:val="24"/>
                <w:szCs w:val="24"/>
              </w:rPr>
            </w:pPr>
          </w:p>
        </w:tc>
        <w:tc>
          <w:tcPr>
            <w:tcW w:w="1603" w:type="dxa"/>
            <w:vMerge w:val="continue"/>
            <w:vAlign w:val="center"/>
          </w:tcPr>
          <w:p>
            <w:pPr>
              <w:spacing w:line="360" w:lineRule="auto"/>
              <w:jc w:val="center"/>
              <w:rPr>
                <w:rFonts w:hint="eastAsia" w:ascii="仿宋" w:hAnsi="仿宋" w:eastAsia="仿宋"/>
                <w:color w:val="000000"/>
                <w:sz w:val="24"/>
                <w:szCs w:val="24"/>
              </w:rPr>
            </w:pPr>
          </w:p>
        </w:tc>
        <w:tc>
          <w:tcPr>
            <w:tcW w:w="713" w:type="dxa"/>
            <w:vMerge w:val="continue"/>
            <w:vAlign w:val="center"/>
          </w:tcPr>
          <w:p>
            <w:pPr>
              <w:spacing w:line="360" w:lineRule="auto"/>
              <w:jc w:val="center"/>
              <w:rPr>
                <w:rFonts w:hint="eastAsia" w:ascii="仿宋" w:hAnsi="仿宋" w:eastAsia="仿宋"/>
                <w:color w:val="000000"/>
                <w:sz w:val="24"/>
                <w:szCs w:val="24"/>
              </w:rPr>
            </w:pPr>
          </w:p>
        </w:tc>
        <w:tc>
          <w:tcPr>
            <w:tcW w:w="781" w:type="dxa"/>
            <w:vMerge w:val="continue"/>
            <w:vAlign w:val="center"/>
          </w:tcPr>
          <w:p>
            <w:pPr>
              <w:spacing w:line="360" w:lineRule="auto"/>
              <w:jc w:val="center"/>
              <w:rPr>
                <w:rFonts w:hint="eastAsia" w:ascii="仿宋" w:hAnsi="仿宋" w:eastAsia="仿宋"/>
                <w:color w:val="000000"/>
                <w:sz w:val="24"/>
                <w:szCs w:val="24"/>
              </w:rPr>
            </w:pPr>
          </w:p>
        </w:tc>
        <w:tc>
          <w:tcPr>
            <w:tcW w:w="3079" w:type="dxa"/>
            <w:vAlign w:val="center"/>
          </w:tcPr>
          <w:p>
            <w:pPr>
              <w:rPr>
                <w:rFonts w:ascii="仿宋" w:hAnsi="仿宋" w:eastAsia="仿宋"/>
                <w:sz w:val="24"/>
              </w:rPr>
            </w:pPr>
            <w:r>
              <w:rPr>
                <w:rFonts w:hint="eastAsia" w:ascii="仿宋" w:hAnsi="仿宋" w:eastAsia="仿宋"/>
                <w:sz w:val="24"/>
              </w:rPr>
              <w:t>4、技术培训</w:t>
            </w:r>
          </w:p>
          <w:p>
            <w:pPr>
              <w:rPr>
                <w:rFonts w:ascii="仿宋" w:hAnsi="仿宋" w:eastAsia="仿宋"/>
                <w:sz w:val="24"/>
              </w:rPr>
            </w:pPr>
            <w:r>
              <w:rPr>
                <w:rFonts w:hint="eastAsia" w:ascii="仿宋" w:hAnsi="仿宋" w:eastAsia="仿宋"/>
                <w:sz w:val="24"/>
              </w:rPr>
              <w:t>1）供应商为惠州市第六人民医院病理科和信息科免费提供技术培训服务，培训对象为病理科的日常操作人员和信息科的工程技术人员；</w:t>
            </w:r>
          </w:p>
          <w:p>
            <w:pPr>
              <w:rPr>
                <w:rFonts w:hint="eastAsia" w:ascii="仿宋" w:hAnsi="仿宋" w:eastAsia="仿宋"/>
                <w:sz w:val="24"/>
              </w:rPr>
            </w:pPr>
            <w:r>
              <w:rPr>
                <w:rFonts w:hint="eastAsia" w:ascii="仿宋" w:hAnsi="仿宋" w:eastAsia="仿宋"/>
                <w:sz w:val="24"/>
              </w:rPr>
              <w:t>2）供应商提供有关软件的中文使用手册。</w:t>
            </w:r>
          </w:p>
        </w:tc>
        <w:tc>
          <w:tcPr>
            <w:tcW w:w="936" w:type="dxa"/>
            <w:vMerge w:val="continue"/>
            <w:vAlign w:val="center"/>
          </w:tcPr>
          <w:p>
            <w:pPr>
              <w:spacing w:after="0" w:line="580" w:lineRule="exact"/>
              <w:jc w:val="both"/>
              <w:rPr>
                <w:rFonts w:ascii="仿宋" w:hAnsi="仿宋" w:eastAsia="仿宋" w:cs="方正仿宋_GBK"/>
                <w:sz w:val="24"/>
                <w:szCs w:val="24"/>
              </w:rPr>
            </w:pPr>
          </w:p>
        </w:tc>
        <w:tc>
          <w:tcPr>
            <w:tcW w:w="1442" w:type="dxa"/>
            <w:vAlign w:val="center"/>
          </w:tcPr>
          <w:p>
            <w:pPr>
              <w:spacing w:after="0" w:line="580" w:lineRule="exact"/>
              <w:jc w:val="both"/>
              <w:rPr>
                <w:rFonts w:ascii="仿宋" w:hAnsi="仿宋" w:eastAsia="仿宋"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7" w:type="dxa"/>
            <w:vMerge w:val="continue"/>
            <w:vAlign w:val="center"/>
          </w:tcPr>
          <w:p>
            <w:pPr>
              <w:spacing w:after="0" w:line="580" w:lineRule="exact"/>
              <w:jc w:val="both"/>
              <w:rPr>
                <w:rFonts w:hint="eastAsia" w:ascii="仿宋" w:hAnsi="仿宋" w:eastAsia="仿宋" w:cs="方正仿宋_GBK"/>
                <w:sz w:val="24"/>
                <w:szCs w:val="24"/>
              </w:rPr>
            </w:pPr>
          </w:p>
        </w:tc>
        <w:tc>
          <w:tcPr>
            <w:tcW w:w="1603" w:type="dxa"/>
            <w:vMerge w:val="continue"/>
            <w:vAlign w:val="center"/>
          </w:tcPr>
          <w:p>
            <w:pPr>
              <w:spacing w:line="360" w:lineRule="auto"/>
              <w:jc w:val="center"/>
              <w:rPr>
                <w:rFonts w:hint="eastAsia" w:ascii="仿宋" w:hAnsi="仿宋" w:eastAsia="仿宋"/>
                <w:color w:val="000000"/>
                <w:sz w:val="24"/>
                <w:szCs w:val="24"/>
              </w:rPr>
            </w:pPr>
          </w:p>
        </w:tc>
        <w:tc>
          <w:tcPr>
            <w:tcW w:w="713" w:type="dxa"/>
            <w:vMerge w:val="continue"/>
            <w:vAlign w:val="center"/>
          </w:tcPr>
          <w:p>
            <w:pPr>
              <w:spacing w:line="360" w:lineRule="auto"/>
              <w:jc w:val="center"/>
              <w:rPr>
                <w:rFonts w:hint="eastAsia" w:ascii="仿宋" w:hAnsi="仿宋" w:eastAsia="仿宋"/>
                <w:color w:val="000000"/>
                <w:sz w:val="24"/>
                <w:szCs w:val="24"/>
              </w:rPr>
            </w:pPr>
          </w:p>
        </w:tc>
        <w:tc>
          <w:tcPr>
            <w:tcW w:w="781" w:type="dxa"/>
            <w:vMerge w:val="continue"/>
            <w:vAlign w:val="center"/>
          </w:tcPr>
          <w:p>
            <w:pPr>
              <w:spacing w:line="360" w:lineRule="auto"/>
              <w:jc w:val="center"/>
              <w:rPr>
                <w:rFonts w:hint="eastAsia" w:ascii="仿宋" w:hAnsi="仿宋" w:eastAsia="仿宋"/>
                <w:color w:val="000000"/>
                <w:sz w:val="24"/>
                <w:szCs w:val="24"/>
              </w:rPr>
            </w:pPr>
          </w:p>
        </w:tc>
        <w:tc>
          <w:tcPr>
            <w:tcW w:w="3079" w:type="dxa"/>
            <w:vAlign w:val="center"/>
          </w:tcPr>
          <w:p>
            <w:pPr>
              <w:rPr>
                <w:rFonts w:ascii="仿宋" w:hAnsi="仿宋" w:eastAsia="仿宋"/>
                <w:sz w:val="24"/>
              </w:rPr>
            </w:pPr>
            <w:r>
              <w:rPr>
                <w:rFonts w:hint="eastAsia" w:ascii="仿宋" w:hAnsi="仿宋" w:eastAsia="仿宋"/>
                <w:sz w:val="24"/>
              </w:rPr>
              <w:t>5、定期巡访</w:t>
            </w:r>
          </w:p>
          <w:p>
            <w:pPr>
              <w:rPr>
                <w:rFonts w:ascii="仿宋" w:hAnsi="仿宋" w:eastAsia="仿宋"/>
                <w:sz w:val="24"/>
              </w:rPr>
            </w:pPr>
            <w:r>
              <w:rPr>
                <w:rFonts w:hint="eastAsia" w:ascii="仿宋" w:hAnsi="仿宋" w:eastAsia="仿宋"/>
                <w:sz w:val="24"/>
              </w:rPr>
              <w:t>1）由供应商专业维修工程师平均每季度一次到惠州市第六人民医院病理科现场进行病理系统的维护和保养工作。在系统出现初期故障征兆即及时解决问题，最大限度保证系统稳定高效运行。</w:t>
            </w:r>
          </w:p>
          <w:p>
            <w:pPr>
              <w:rPr>
                <w:rFonts w:ascii="仿宋" w:hAnsi="仿宋" w:eastAsia="仿宋"/>
                <w:sz w:val="24"/>
              </w:rPr>
            </w:pPr>
            <w:r>
              <w:rPr>
                <w:rFonts w:hint="eastAsia" w:ascii="仿宋" w:hAnsi="仿宋" w:eastAsia="仿宋"/>
                <w:sz w:val="24"/>
              </w:rPr>
              <w:t>2）对系统出现的异常现象，建立文字性的记录，采取相应的技术措施。</w:t>
            </w:r>
          </w:p>
          <w:p>
            <w:pPr>
              <w:rPr>
                <w:rFonts w:hint="eastAsia" w:ascii="仿宋" w:hAnsi="仿宋" w:eastAsia="仿宋"/>
                <w:sz w:val="24"/>
                <w:szCs w:val="24"/>
              </w:rPr>
            </w:pPr>
            <w:r>
              <w:rPr>
                <w:rFonts w:hint="eastAsia" w:ascii="仿宋" w:hAnsi="仿宋" w:eastAsia="仿宋"/>
                <w:sz w:val="24"/>
              </w:rPr>
              <w:t>3）按照维护手册，定期对系统进行备份等维护工作。</w:t>
            </w:r>
          </w:p>
        </w:tc>
        <w:tc>
          <w:tcPr>
            <w:tcW w:w="936" w:type="dxa"/>
            <w:vMerge w:val="continue"/>
            <w:vAlign w:val="center"/>
          </w:tcPr>
          <w:p>
            <w:pPr>
              <w:spacing w:after="0" w:line="580" w:lineRule="exact"/>
              <w:jc w:val="both"/>
              <w:rPr>
                <w:rFonts w:ascii="仿宋" w:hAnsi="仿宋" w:eastAsia="仿宋" w:cs="方正仿宋_GBK"/>
                <w:sz w:val="24"/>
                <w:szCs w:val="24"/>
              </w:rPr>
            </w:pPr>
          </w:p>
        </w:tc>
        <w:tc>
          <w:tcPr>
            <w:tcW w:w="1442" w:type="dxa"/>
            <w:vAlign w:val="center"/>
          </w:tcPr>
          <w:p>
            <w:pPr>
              <w:spacing w:after="0" w:line="580" w:lineRule="exact"/>
              <w:jc w:val="both"/>
              <w:rPr>
                <w:rFonts w:ascii="仿宋" w:hAnsi="仿宋" w:eastAsia="仿宋" w:cs="方正仿宋_GBK"/>
                <w:sz w:val="24"/>
                <w:szCs w:val="24"/>
              </w:rPr>
            </w:pPr>
          </w:p>
        </w:tc>
      </w:tr>
    </w:tbl>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2.维保内容构成</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2.1系统运维服务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1）操作指导：系统电子操作说明手册，可在业务软件上直接打开查看，维保期内每半年更新一次；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巡检服务：质保期间由原厂认证工程师每月至少对系统运行状况进行巡检1次，方式可以是远程或现场；在每超过3天的国家法定节假日放假之前需远程或现场巡检1次；每季度现场系统运行状况巡检1次。巡检范围从客户端、应用服务器、数据库服务器全方面检查，巡检报告按甲方格式填写并签字，巡检报告要真实有效。每次现场巡检时将之前的纸质巡检报告提交甲方系统主管工程师归档。每半年将零星服务的内容按甲方格式进行汇总并加盖公司公章，生成服务报告；每年度生成年度服务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3）故障排除：软件应用过程中出现功能故障时，协助查找、排除软件故障，保证系统功能正常运行；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4）软件更新：对程序BUG、程序错误提供定期的修复补丁包服务，定期优化软件功能和性能，在公司推出同版本的新升级程序后，对客户系统进行升级；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5）日常维护：维保期对系统进行修正性维护、适应性维护、完善性维护、预期性维护，每次维护均建立维护记录并归档；</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6）应急服务：出现紧急情况时，保证在半小时内启动应急服务，协调安排相关工作人员跟进处理相关紧急情况。维保公司有完整的应急方案，并根据医院实际情况进行修订；</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7）应用迁移：协助进行应用迁移，提供必要的支持和指导；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应急基本流程：出现突发情况→系统主管工程师现场分析原因并处理→如问题未能解决导致系统不能正常使用超过半小时→系统主管工程师评估影响范围→报维保公司技术经理→公司协调工程师协助系统主管工程师处理→问题结束→提交问题处理结果分析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9）咨询服务：用户在系统操作过程中的咨询、疑问、建议进行解答；</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10）维护培训：对业务部门人员及主管系统人员，进行系统操作、维护培训；公司提供系统运行状况检查方案及脚本并负责培训甲方工程师，每半年升级更新内容。</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网络安全服务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1）网络安全等级评审：配合对系统进行网络安全等级评审，对存在问题进行完善修复并达到相关等级；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2）安全更新：对网络安全漏洞提供修复补丁包服务，优化网络安全性能，在公司推出同版本的新升级程序后，对客户系统进行升级；</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接口运维服务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1）接口远程处理：提供技术支持以保障系统范围现有接口的稳定运行；</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2）提供接口解决方案：对于现有接口运行不畅，提供接口解决方案，并积极配合院方进行调整。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3）运维期内能够与医院现用医务管理系统做到无缝对接，共用一套组织机构与人员信息。</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数据库运维服务</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1）数据库服务器巡检：提供定期（每季度）到我院与系统主管工程师进行数据库服务器巡检，对现有数据库运行状态进行评估，并反馈评估报告；</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2）问题日志远程处理：对数据库中产生的问题日志，提供远程查看与指导；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3）数据恢复：协助系统主管工程师恢复数据；</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4）数据调整：协助系统维护人员进行数据调整；</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5）数据迁移：协助进行数据库迁移，提供必要的支持和指导；</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6）应急服务：系统灾难发生时，导致系统不能正常使用超过半小时，维保公司需承诺立即响应，减少数据损失，降低灾难对整个系统正常运行的影响；</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7）问题解答：解答系统及数据库疑难问题；</w:t>
      </w:r>
    </w:p>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b/>
          <w:sz w:val="32"/>
          <w:szCs w:val="32"/>
          <w:lang w:val="hr-HR"/>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 xml:space="preserve"> 3年 </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服务地点：惠州市第六人民医院</w:t>
      </w:r>
    </w:p>
    <w:p>
      <w:pPr>
        <w:keepNext w:val="0"/>
        <w:keepLines w:val="0"/>
        <w:pageBreakBefore w:val="0"/>
        <w:numPr>
          <w:ilvl w:val="0"/>
          <w:numId w:val="2"/>
        </w:numPr>
        <w:kinsoku/>
        <w:wordWrap/>
        <w:overflowPunct/>
        <w:topLinePunct w:val="0"/>
        <w:bidi w:val="0"/>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（六）付款方式：</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（1）服务费用</w:t>
      </w:r>
      <w:r>
        <w:rPr>
          <w:rFonts w:hint="eastAsia" w:ascii="方正仿宋_GBK" w:hAnsi="方正仿宋_GBK" w:eastAsia="方正仿宋_GBK" w:cs="方正仿宋_GBK"/>
          <w:sz w:val="32"/>
          <w:szCs w:val="32"/>
          <w:lang w:eastAsia="zh-CN"/>
        </w:rPr>
        <w:t>按每年预算执行，</w:t>
      </w:r>
      <w:r>
        <w:rPr>
          <w:rFonts w:hint="eastAsia" w:ascii="方正仿宋_GBK" w:hAnsi="方正仿宋_GBK" w:eastAsia="方正仿宋_GBK" w:cs="方正仿宋_GBK"/>
          <w:sz w:val="32"/>
          <w:szCs w:val="32"/>
        </w:rPr>
        <w:t>分期支付，合同签订后</w:t>
      </w:r>
      <w:r>
        <w:rPr>
          <w:rFonts w:hint="eastAsia" w:ascii="方正仿宋_GBK" w:hAnsi="方正仿宋_GBK" w:eastAsia="方正仿宋_GBK" w:cs="方正仿宋_GBK"/>
          <w:sz w:val="32"/>
          <w:szCs w:val="32"/>
          <w:lang w:eastAsia="zh-CN"/>
        </w:rPr>
        <w:t>乙方开始执行，至当年一半时，</w:t>
      </w:r>
      <w:r>
        <w:rPr>
          <w:rFonts w:hint="eastAsia" w:ascii="方正仿宋_GBK" w:hAnsi="方正仿宋_GBK" w:eastAsia="方正仿宋_GBK" w:cs="方正仿宋_GBK"/>
          <w:sz w:val="32"/>
          <w:szCs w:val="32"/>
        </w:rPr>
        <w:t>支付</w:t>
      </w:r>
      <w:r>
        <w:rPr>
          <w:rFonts w:hint="eastAsia" w:ascii="方正仿宋_GBK" w:hAnsi="方正仿宋_GBK" w:eastAsia="方正仿宋_GBK" w:cs="方正仿宋_GBK"/>
          <w:sz w:val="32"/>
          <w:szCs w:val="32"/>
          <w:lang w:eastAsia="zh-CN"/>
        </w:rPr>
        <w:t>当年预算</w:t>
      </w:r>
      <w:r>
        <w:rPr>
          <w:rFonts w:hint="eastAsia" w:ascii="方正仿宋_GBK" w:hAnsi="方正仿宋_GBK" w:eastAsia="方正仿宋_GBK" w:cs="方正仿宋_GBK"/>
          <w:sz w:val="32"/>
          <w:szCs w:val="32"/>
        </w:rPr>
        <w:t>的</w:t>
      </w:r>
      <w:r>
        <w:rPr>
          <w:rFonts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0%，在供应商提供发票</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个工作日内完成支付。</w:t>
      </w:r>
      <w:r>
        <w:rPr>
          <w:rFonts w:hint="eastAsia" w:ascii="方正仿宋_GBK" w:hAnsi="方正仿宋_GBK" w:eastAsia="方正仿宋_GBK" w:cs="方正仿宋_GBK"/>
          <w:sz w:val="32"/>
          <w:szCs w:val="32"/>
          <w:lang w:eastAsia="zh-CN"/>
        </w:rPr>
        <w:t>当年</w:t>
      </w:r>
      <w:r>
        <w:rPr>
          <w:rFonts w:hint="eastAsia" w:ascii="方正仿宋_GBK" w:hAnsi="方正仿宋_GBK" w:eastAsia="方正仿宋_GBK" w:cs="方正仿宋_GBK"/>
          <w:sz w:val="32"/>
          <w:szCs w:val="32"/>
          <w:lang w:val="en-US" w:eastAsia="zh-CN"/>
        </w:rPr>
        <w:t>维护期结束时，使用科室验收后，支付合同金额的50%，在供应商提供发票30个工作日内完成支付。合同第二年第三年按此执行。</w:t>
      </w:r>
      <w:r>
        <w:rPr>
          <w:rFonts w:hint="eastAsia" w:ascii="方正仿宋_GBK" w:hAnsi="方正仿宋_GBK" w:eastAsia="方正仿宋_GBK" w:cs="方正仿宋_GBK"/>
          <w:sz w:val="32"/>
          <w:szCs w:val="32"/>
        </w:rPr>
        <w:t>（2）采购人不承担因财政资金不能及时到位给成交供应商造成的任何损失。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FBD1A88-91BF-479D-A93B-A915576F7E2B}"/>
  </w:font>
  <w:font w:name="微软雅黑">
    <w:panose1 w:val="020B0503020204020204"/>
    <w:charset w:val="86"/>
    <w:family w:val="swiss"/>
    <w:pitch w:val="default"/>
    <w:sig w:usb0="80000287" w:usb1="2ACF3C50" w:usb2="00000016" w:usb3="00000000" w:csb0="0004001F" w:csb1="00000000"/>
    <w:embedRegular r:id="rId2" w:fontKey="{39253088-8568-458A-AFFF-400ABDA8BD5C}"/>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3" w:fontKey="{D3023A37-95C6-4284-8F7D-ED10C23F3664}"/>
  </w:font>
  <w:font w:name="方正黑体_GBK">
    <w:panose1 w:val="02000000000000000000"/>
    <w:charset w:val="86"/>
    <w:family w:val="auto"/>
    <w:pitch w:val="default"/>
    <w:sig w:usb0="A00002BF" w:usb1="38CF7CFA" w:usb2="00082016" w:usb3="00000000" w:csb0="00040001" w:csb1="00000000"/>
    <w:embedRegular r:id="rId4" w:fontKey="{2124B46A-0A6C-4C0B-9BD3-5A1E36C42DEC}"/>
  </w:font>
  <w:font w:name="仿宋">
    <w:panose1 w:val="02010609060101010101"/>
    <w:charset w:val="86"/>
    <w:family w:val="modern"/>
    <w:pitch w:val="default"/>
    <w:sig w:usb0="800002BF" w:usb1="38CF7CFA" w:usb2="00000016" w:usb3="00000000" w:csb0="00040001" w:csb1="00000000"/>
    <w:embedRegular r:id="rId5" w:fontKey="{5E924581-DB9B-4958-B1C0-9CD66080DFC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510C0"/>
    <w:multiLevelType w:val="singleLevel"/>
    <w:tmpl w:val="E8D510C0"/>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187F5606"/>
    <w:rsid w:val="1ECF5DCD"/>
    <w:rsid w:val="31E920C1"/>
    <w:rsid w:val="492A23F4"/>
    <w:rsid w:val="5D0A2E0A"/>
    <w:rsid w:val="681D09F5"/>
    <w:rsid w:val="6E946A7C"/>
    <w:rsid w:val="701E3B51"/>
    <w:rsid w:val="7AE363CF"/>
    <w:rsid w:val="7D055042"/>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semiHidden/>
    <w:qFormat/>
    <w:uiPriority w:val="99"/>
    <w:rPr>
      <w:rFonts w:ascii="Tahoma" w:hAnsi="Tahoma"/>
      <w:sz w:val="18"/>
      <w:szCs w:val="18"/>
    </w:rPr>
  </w:style>
  <w:style w:type="character" w:customStyle="1" w:styleId="13">
    <w:name w:val="页脚 字符"/>
    <w:basedOn w:val="11"/>
    <w:link w:val="8"/>
    <w:semiHidden/>
    <w:qFormat/>
    <w:uiPriority w:val="99"/>
    <w:rPr>
      <w:rFonts w:ascii="Tahoma" w:hAnsi="Tahoma"/>
      <w:sz w:val="18"/>
      <w:szCs w:val="18"/>
    </w:rPr>
  </w:style>
  <w:style w:type="character" w:customStyle="1" w:styleId="14">
    <w:name w:val="z正文 Char Char"/>
    <w:link w:val="15"/>
    <w:qFormat/>
    <w:uiPriority w:val="0"/>
    <w:rPr>
      <w:rFonts w:eastAsia="仿宋_GB2312" w:cs="宋体"/>
      <w:kern w:val="2"/>
      <w:sz w:val="28"/>
    </w:rPr>
  </w:style>
  <w:style w:type="paragraph" w:customStyle="1" w:styleId="15">
    <w:name w:val="z正文"/>
    <w:basedOn w:val="1"/>
    <w:link w:val="14"/>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qFormat/>
    <w:uiPriority w:val="0"/>
    <w:rPr>
      <w:rFonts w:ascii="宋体" w:eastAsia="宋体" w:cs="Courier New"/>
      <w:kern w:val="2"/>
      <w:sz w:val="21"/>
      <w:szCs w:val="21"/>
    </w:rPr>
  </w:style>
  <w:style w:type="character" w:customStyle="1" w:styleId="17">
    <w:name w:val="纯文本 Char1"/>
    <w:basedOn w:val="11"/>
    <w:semiHidden/>
    <w:qFormat/>
    <w:uiPriority w:val="99"/>
    <w:rPr>
      <w:rFonts w:ascii="宋体" w:hAnsi="Courier New" w:eastAsia="宋体" w:cs="Courier New"/>
      <w:sz w:val="21"/>
      <w:szCs w:val="21"/>
    </w:rPr>
  </w:style>
  <w:style w:type="character" w:customStyle="1" w:styleId="18">
    <w:name w:val="正文文本 字符"/>
    <w:basedOn w:val="11"/>
    <w:link w:val="5"/>
    <w:qFormat/>
    <w:uiPriority w:val="0"/>
    <w:rPr>
      <w:rFonts w:ascii="宋体" w:hAnsi="宋体" w:eastAsia="宋体" w:cs="宋体"/>
      <w:sz w:val="24"/>
      <w:szCs w:val="24"/>
      <w:lang w:val="zh-CN" w:bidi="zh-CN"/>
    </w:rPr>
  </w:style>
  <w:style w:type="character" w:customStyle="1" w:styleId="19">
    <w:name w:val="文档结构图 字符"/>
    <w:basedOn w:val="11"/>
    <w:link w:val="4"/>
    <w:semiHidden/>
    <w:qFormat/>
    <w:uiPriority w:val="99"/>
    <w:rPr>
      <w:rFonts w:ascii="宋体" w:hAnsi="Tahoma" w:eastAsia="宋体"/>
      <w:sz w:val="18"/>
      <w:szCs w:val="18"/>
    </w:rPr>
  </w:style>
  <w:style w:type="character" w:customStyle="1" w:styleId="20">
    <w:name w:val="正文缩进 字符"/>
    <w:link w:val="2"/>
    <w:qFormat/>
    <w:uiPriority w:val="0"/>
    <w:rPr>
      <w:rFonts w:eastAsia="宋体"/>
      <w:kern w:val="2"/>
      <w:sz w:val="21"/>
      <w:szCs w:val="24"/>
    </w:rPr>
  </w:style>
  <w:style w:type="paragraph" w:customStyle="1" w:styleId="21">
    <w:name w:val="表头"/>
    <w:basedOn w:val="3"/>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qFormat/>
    <w:uiPriority w:val="99"/>
    <w:rPr>
      <w:rFonts w:ascii="宋体" w:hAnsi="Courier New"/>
      <w:kern w:val="2"/>
      <w:sz w:val="24"/>
    </w:rPr>
  </w:style>
  <w:style w:type="character" w:customStyle="1" w:styleId="23">
    <w:name w:val="批注框文本 字符"/>
    <w:basedOn w:val="11"/>
    <w:link w:val="7"/>
    <w:semiHidden/>
    <w:qFormat/>
    <w:uiPriority w:val="99"/>
    <w:rPr>
      <w:rFonts w:ascii="Tahoma" w:hAnsi="Tahoma"/>
      <w:sz w:val="18"/>
      <w:szCs w:val="18"/>
    </w:rPr>
  </w:style>
  <w:style w:type="paragraph" w:customStyle="1" w:styleId="24">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0</TotalTime>
  <ScaleCrop>false</ScaleCrop>
  <LinksUpToDate>false</LinksUpToDate>
  <CharactersWithSpaces>706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2023-12-09T06:26:46Z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193219FFB2214708BEA6EA935E550C75_13</vt:lpwstr>
  </property>
</Properties>
</file>