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H6-XXB-2021-008</w:t>
      </w: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 xml:space="preserve">            采购项目：关于互联网医院平台第一期信息化</w:t>
      </w: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建设项目</w:t>
      </w:r>
    </w:p>
    <w:p>
      <w:pPr>
        <w:ind w:firstLine="2560" w:firstLineChars="8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2021年12月24日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72"/>
          <w:szCs w:val="72"/>
        </w:rPr>
        <w:t>目      录</w:t>
      </w:r>
      <w:r>
        <w:rPr>
          <w:rFonts w:hint="eastAsia" w:ascii="方正黑体_GBK" w:hAnsi="方正黑体_GBK" w:eastAsia="方正黑体_GBK" w:cs="方正黑体_GBK"/>
          <w:b/>
          <w:bCs/>
          <w:caps/>
          <w:sz w:val="72"/>
          <w:szCs w:val="72"/>
        </w:rPr>
        <w:br w:type="textWrapping"/>
      </w:r>
    </w:p>
    <w:p>
      <w:pPr>
        <w:rPr>
          <w:rFonts w:hint="eastAsia"/>
        </w:rPr>
      </w:pPr>
    </w:p>
    <w:p>
      <w:pPr>
        <w:pStyle w:val="3"/>
        <w:rPr>
          <w:rFonts w:hint="eastAsia"/>
        </w:rPr>
      </w:pPr>
    </w:p>
    <w:p>
      <w:pPr>
        <w:pStyle w:val="10"/>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rPr>
          <w:rFonts w:hint="default"/>
          <w:lang w:val="en-US" w:eastAsia="zh-CN"/>
        </w:rPr>
      </w:pPr>
    </w:p>
    <w:p>
      <w:pPr>
        <w:pStyle w:val="2"/>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互联网医院平台第一期信息化建设项目</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H6-XXB-2021-008</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rPr>
        <w:t>互联网医院平台第一期信息化建设项目</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3"/>
        <w:tblpPr w:leftFromText="180" w:rightFromText="180" w:vertAnchor="text" w:horzAnchor="page" w:tblpX="1575" w:tblpY="310"/>
        <w:tblOverlap w:val="never"/>
        <w:tblW w:w="4645" w:type="pct"/>
        <w:tblInd w:w="0" w:type="dxa"/>
        <w:tblLayout w:type="fixed"/>
        <w:tblCellMar>
          <w:top w:w="0" w:type="dxa"/>
          <w:left w:w="108" w:type="dxa"/>
          <w:bottom w:w="0" w:type="dxa"/>
          <w:right w:w="108" w:type="dxa"/>
        </w:tblCellMar>
      </w:tblPr>
      <w:tblGrid>
        <w:gridCol w:w="3526"/>
        <w:gridCol w:w="920"/>
        <w:gridCol w:w="987"/>
        <w:gridCol w:w="1865"/>
        <w:gridCol w:w="1773"/>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4"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b w:val="0"/>
                <w:bCs w:val="0"/>
                <w:kern w:val="2"/>
                <w:sz w:val="32"/>
                <w:szCs w:val="32"/>
              </w:rPr>
              <w:t>互联网医院平台第一期信息化建设项目</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4"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60</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60</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29</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lang w:eastAsia="zh-CN"/>
        </w:rPr>
        <w:t>招标</w:t>
      </w:r>
      <w:r>
        <w:rPr>
          <w:rFonts w:hint="eastAsia" w:ascii="方正仿宋_GBK" w:hAnsi="方正仿宋_GBK" w:eastAsia="方正仿宋_GBK" w:cs="方正仿宋_GBK"/>
          <w:color w:val="auto"/>
          <w:sz w:val="32"/>
          <w:szCs w:val="32"/>
        </w:rPr>
        <w:t>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 xml:space="preserve"> 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29</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val="en-US" w:eastAsia="zh-CN"/>
        </w:rPr>
        <w:t>2021年12月30日</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400" w:firstLineChars="20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12</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pStyle w:val="3"/>
        <w:rPr>
          <w:rFonts w:hint="eastAsia"/>
          <w:sz w:val="18"/>
          <w:szCs w:val="18"/>
          <w:lang w:val="en-US" w:eastAsia="zh-CN"/>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11"/>
        <w:rPr>
          <w:rFonts w:hint="eastAsia" w:ascii="方正黑体_GBK" w:hAnsi="方正黑体_GBK" w:eastAsia="方正黑体_GBK" w:cs="方正黑体_GBK"/>
          <w:snapToGrid w:val="0"/>
          <w:kern w:val="0"/>
          <w:sz w:val="32"/>
          <w:szCs w:val="32"/>
          <w:lang w:val="en-US" w:eastAsia="zh-CN" w:bidi="ar-SA"/>
        </w:rPr>
      </w:pPr>
      <w:r>
        <w:rPr>
          <w:rFonts w:hint="eastAsia" w:ascii="方正黑体_GBK" w:hAnsi="方正黑体_GBK" w:eastAsia="方正黑体_GBK" w:cs="方正黑体_GBK"/>
          <w:snapToGrid w:val="0"/>
          <w:kern w:val="0"/>
          <w:sz w:val="32"/>
          <w:szCs w:val="32"/>
          <w:lang w:val="en-US" w:eastAsia="zh-CN" w:bidi="ar-SA"/>
        </w:rPr>
        <w:t>建设背景及目标</w:t>
      </w:r>
    </w:p>
    <w:p>
      <w:pPr>
        <w:pStyle w:val="11"/>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1、单位简介</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惠州市第六人民医院始建于1949年9月，前身是中国人民解放军粤赣湘边纵队健康医院，是惠阳及大亚湾地区规模最大的公立综合医院，承担了本地区主要的医疗、急救、预防、保健、科研与教学工作。</w:t>
      </w:r>
    </w:p>
    <w:p>
      <w:pPr>
        <w:pStyle w:val="11"/>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2、现状情况</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随着国家颁布的互联网+、分级诊疗、药品零差价、医生多点执业等相关政策的落实，目前医院以完成院内信息化（HIS）和智慧医院（挂缴查系统）产品的建设，下一步将建设互联网医院整体平台来落实相关政策与面对互联网时代下的医改挑战。</w:t>
      </w:r>
    </w:p>
    <w:p>
      <w:pPr>
        <w:pStyle w:val="11"/>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3、建设目标</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国家《关于促进“互联网+医疗健康”发展的意见》，意见明确规定：允许依托医疗机构发展互联网医院。医疗机构可以使用互联网医院作为第二名称，在实体医院基础上，运用互联网技术提供安全适宜的医疗服务，允许在线开展部分常见病、慢性病复诊。医师掌握患者病历资料后，允许在线开具部分常见病、慢性病处方。</w:t>
      </w:r>
    </w:p>
    <w:p>
      <w:pPr>
        <w:pStyle w:val="11"/>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kern w:val="0"/>
          <w:sz w:val="32"/>
          <w:szCs w:val="32"/>
          <w:lang w:val="en-US" w:eastAsia="zh-CN" w:bidi="ar-SA"/>
        </w:rPr>
      </w:pPr>
      <w:r>
        <w:rPr>
          <w:rFonts w:hint="eastAsia" w:ascii="方正仿宋_GBK" w:hAnsi="方正仿宋_GBK" w:eastAsia="方正仿宋_GBK" w:cs="方正仿宋_GBK"/>
          <w:snapToGrid w:val="0"/>
          <w:kern w:val="0"/>
          <w:sz w:val="32"/>
          <w:szCs w:val="32"/>
          <w:lang w:val="en-US" w:eastAsia="zh-CN" w:bidi="ar-SA"/>
        </w:rPr>
        <w:t>当前，由于疫情原因，国家大力鼓励实体医院发展互联网医院的窗口时期，各种政策正助力公立医院开展互联网+建设，互联网医院医保支付也在一些城市已经实现。为加强面向患者的智慧就医的全面服务体系，搭建医院线上医患沟通平台，建设互联网医院项目，建设基于微信小程序等提供全方位的移动医疗服务，帮助医院建设面向患者的智慧就医服务体系，为患者提供“便捷、高效、温暖”的就医服务。通过互联网医院搭建医院线上医患沟通平台，使医患双方能在线上完成完整规范的咨询问诊，同时通过线下就医的在线服务窗口功能升级优化，使患者在线下也能够快速便捷导诊就医。建设互联网医院及院内诊疗在线服务优化能提升患者的就医满意度与用户体验。</w:t>
      </w:r>
    </w:p>
    <w:p>
      <w:pPr>
        <w:pStyle w:val="6"/>
        <w:numPr>
          <w:ilvl w:val="3"/>
          <w:numId w:val="0"/>
        </w:numPr>
        <w:spacing w:before="156" w:after="156"/>
        <w:outlineLvl w:val="2"/>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招标内容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本次招标内容为</w:t>
      </w:r>
      <w:r>
        <w:rPr>
          <w:rFonts w:hint="eastAsia" w:ascii="方正仿宋_GBK" w:hAnsi="方正仿宋_GBK" w:eastAsia="方正仿宋_GBK" w:cs="方正仿宋_GBK"/>
          <w:b w:val="0"/>
          <w:bCs w:val="0"/>
          <w:kern w:val="2"/>
          <w:sz w:val="32"/>
          <w:szCs w:val="32"/>
        </w:rPr>
        <w:t>门急诊单机应急系统</w:t>
      </w:r>
      <w:r>
        <w:rPr>
          <w:rFonts w:hint="eastAsia" w:ascii="方正仿宋_GBK" w:hAnsi="方正仿宋_GBK" w:eastAsia="方正仿宋_GBK" w:cs="方正仿宋_GBK"/>
          <w:snapToGrid w:val="0"/>
          <w:sz w:val="32"/>
          <w:szCs w:val="32"/>
        </w:rPr>
        <w:t>建设</w:t>
      </w:r>
      <w:r>
        <w:rPr>
          <w:rFonts w:hint="eastAsia" w:ascii="方正仿宋_GBK" w:hAnsi="方正仿宋_GBK" w:eastAsia="方正仿宋_GBK" w:cs="方正仿宋_GBK"/>
          <w:sz w:val="32"/>
          <w:szCs w:val="32"/>
        </w:rPr>
        <w:t>，包括系统软、硬件的供货、安装调试、集成、开发、技术支持、运行维护、项目验收、技术培训及售后服务等。</w:t>
      </w:r>
    </w:p>
    <w:p>
      <w:pPr>
        <w:pStyle w:val="2"/>
        <w:numPr>
          <w:ilvl w:val="0"/>
          <w:numId w:val="0"/>
        </w:numPr>
        <w:ind w:leftChars="0"/>
        <w:rPr>
          <w:rFonts w:hint="eastAsia" w:ascii="方正仿宋_GBK" w:hAnsi="方正仿宋_GBK" w:eastAsia="方正仿宋_GBK" w:cs="方正仿宋_GBK"/>
          <w:sz w:val="32"/>
          <w:szCs w:val="32"/>
        </w:rPr>
      </w:pPr>
    </w:p>
    <w:p>
      <w:pPr>
        <w:rPr>
          <w:rFonts w:hint="eastAsia"/>
        </w:rPr>
      </w:pPr>
    </w:p>
    <w:tbl>
      <w:tblPr>
        <w:tblStyle w:val="13"/>
        <w:tblpPr w:leftFromText="180" w:rightFromText="180" w:vertAnchor="text" w:horzAnchor="page" w:tblpX="892" w:tblpY="139"/>
        <w:tblOverlap w:val="never"/>
        <w:tblW w:w="10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070"/>
        <w:gridCol w:w="2993"/>
        <w:gridCol w:w="1632"/>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noWrap w:val="0"/>
            <w:vAlign w:val="center"/>
          </w:tcPr>
          <w:p>
            <w:pPr>
              <w:pStyle w:val="15"/>
              <w:rPr>
                <w:kern w:val="2"/>
                <w:sz w:val="24"/>
                <w:szCs w:val="21"/>
              </w:rPr>
            </w:pPr>
            <w:r>
              <w:rPr>
                <w:rFonts w:hint="eastAsia"/>
                <w:kern w:val="2"/>
                <w:sz w:val="24"/>
                <w:szCs w:val="21"/>
              </w:rPr>
              <w:t>序号</w:t>
            </w:r>
          </w:p>
        </w:tc>
        <w:tc>
          <w:tcPr>
            <w:tcW w:w="2070" w:type="dxa"/>
            <w:noWrap w:val="0"/>
            <w:vAlign w:val="center"/>
          </w:tcPr>
          <w:p>
            <w:pPr>
              <w:pStyle w:val="15"/>
              <w:rPr>
                <w:kern w:val="2"/>
                <w:sz w:val="24"/>
                <w:szCs w:val="21"/>
              </w:rPr>
            </w:pPr>
            <w:r>
              <w:rPr>
                <w:rFonts w:hint="eastAsia"/>
                <w:kern w:val="2"/>
                <w:sz w:val="24"/>
                <w:szCs w:val="21"/>
              </w:rPr>
              <w:t>货物名称</w:t>
            </w:r>
          </w:p>
        </w:tc>
        <w:tc>
          <w:tcPr>
            <w:tcW w:w="2993" w:type="dxa"/>
            <w:noWrap w:val="0"/>
            <w:vAlign w:val="center"/>
          </w:tcPr>
          <w:p>
            <w:pPr>
              <w:pStyle w:val="15"/>
              <w:rPr>
                <w:rFonts w:hint="eastAsia" w:eastAsia="宋体"/>
                <w:kern w:val="2"/>
                <w:sz w:val="24"/>
                <w:szCs w:val="21"/>
                <w:lang w:eastAsia="zh-CN"/>
              </w:rPr>
            </w:pPr>
            <w:r>
              <w:rPr>
                <w:rFonts w:hint="eastAsia"/>
                <w:kern w:val="2"/>
                <w:sz w:val="24"/>
                <w:szCs w:val="21"/>
                <w:lang w:eastAsia="zh-CN"/>
              </w:rPr>
              <w:t>建设内容</w:t>
            </w:r>
          </w:p>
        </w:tc>
        <w:tc>
          <w:tcPr>
            <w:tcW w:w="1632" w:type="dxa"/>
            <w:noWrap w:val="0"/>
            <w:vAlign w:val="center"/>
          </w:tcPr>
          <w:p>
            <w:pPr>
              <w:pStyle w:val="15"/>
              <w:rPr>
                <w:kern w:val="2"/>
                <w:sz w:val="24"/>
                <w:szCs w:val="21"/>
              </w:rPr>
            </w:pPr>
            <w:r>
              <w:rPr>
                <w:rFonts w:hint="eastAsia"/>
                <w:kern w:val="2"/>
                <w:sz w:val="24"/>
                <w:szCs w:val="21"/>
              </w:rPr>
              <w:t>数量</w:t>
            </w:r>
          </w:p>
        </w:tc>
        <w:tc>
          <w:tcPr>
            <w:tcW w:w="2517" w:type="dxa"/>
            <w:noWrap w:val="0"/>
            <w:vAlign w:val="center"/>
          </w:tcPr>
          <w:p>
            <w:pPr>
              <w:pStyle w:val="15"/>
              <w:rPr>
                <w:kern w:val="2"/>
                <w:sz w:val="24"/>
                <w:szCs w:val="21"/>
              </w:rPr>
            </w:pPr>
            <w:r>
              <w:rPr>
                <w:rFonts w:hint="eastAsia"/>
                <w:kern w:val="2"/>
                <w:sz w:val="24"/>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83" w:type="dxa"/>
            <w:noWrap w:val="0"/>
            <w:vAlign w:val="center"/>
          </w:tcPr>
          <w:p>
            <w:pPr>
              <w:pStyle w:val="15"/>
              <w:rPr>
                <w:kern w:val="2"/>
                <w:sz w:val="24"/>
                <w:szCs w:val="21"/>
              </w:rPr>
            </w:pPr>
            <w:r>
              <w:rPr>
                <w:kern w:val="2"/>
                <w:sz w:val="24"/>
                <w:szCs w:val="21"/>
              </w:rPr>
              <w:t>1</w:t>
            </w:r>
          </w:p>
        </w:tc>
        <w:tc>
          <w:tcPr>
            <w:tcW w:w="2070" w:type="dxa"/>
            <w:noWrap w:val="0"/>
            <w:vAlign w:val="center"/>
          </w:tcPr>
          <w:p>
            <w:pPr>
              <w:pStyle w:val="15"/>
              <w:rPr>
                <w:kern w:val="2"/>
                <w:sz w:val="24"/>
                <w:szCs w:val="21"/>
              </w:rPr>
            </w:pPr>
            <w:r>
              <w:rPr>
                <w:rFonts w:hint="eastAsia"/>
                <w:kern w:val="2"/>
                <w:sz w:val="24"/>
                <w:szCs w:val="21"/>
              </w:rPr>
              <w:t>互联网医院平台第一期信息化建设项目</w:t>
            </w:r>
          </w:p>
        </w:tc>
        <w:tc>
          <w:tcPr>
            <w:tcW w:w="2993" w:type="dxa"/>
            <w:noWrap w:val="0"/>
            <w:vAlign w:val="center"/>
          </w:tcPr>
          <w:p>
            <w:pPr>
              <w:pStyle w:val="15"/>
              <w:numPr>
                <w:ilvl w:val="0"/>
                <w:numId w:val="6"/>
              </w:num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首诊咨询、在线复诊</w:t>
            </w:r>
          </w:p>
          <w:p>
            <w:pPr>
              <w:pStyle w:val="15"/>
              <w:numPr>
                <w:ilvl w:val="0"/>
                <w:numId w:val="6"/>
              </w:numPr>
              <w:jc w:val="left"/>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在线医嘱</w:t>
            </w:r>
          </w:p>
          <w:p>
            <w:pPr>
              <w:pStyle w:val="15"/>
              <w:numPr>
                <w:ilvl w:val="0"/>
                <w:numId w:val="6"/>
              </w:num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CA认证</w:t>
            </w:r>
          </w:p>
          <w:p>
            <w:pPr>
              <w:pStyle w:val="15"/>
              <w:numPr>
                <w:ilvl w:val="0"/>
                <w:numId w:val="6"/>
              </w:numPr>
              <w:jc w:val="left"/>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rPr>
              <w:t>对接省监管平台</w:t>
            </w:r>
          </w:p>
          <w:p>
            <w:pPr>
              <w:pStyle w:val="15"/>
              <w:numPr>
                <w:ilvl w:val="0"/>
                <w:numId w:val="6"/>
              </w:num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合理用药</w:t>
            </w:r>
          </w:p>
          <w:p>
            <w:pPr>
              <w:pStyle w:val="15"/>
              <w:numPr>
                <w:ilvl w:val="0"/>
                <w:numId w:val="6"/>
              </w:numPr>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医生端PC端/企业微信端</w:t>
            </w:r>
          </w:p>
        </w:tc>
        <w:tc>
          <w:tcPr>
            <w:tcW w:w="1632" w:type="dxa"/>
            <w:noWrap w:val="0"/>
            <w:vAlign w:val="center"/>
          </w:tcPr>
          <w:p>
            <w:pPr>
              <w:pStyle w:val="15"/>
              <w:jc w:val="center"/>
              <w:rPr>
                <w:kern w:val="2"/>
                <w:sz w:val="24"/>
                <w:szCs w:val="21"/>
              </w:rPr>
            </w:pPr>
            <w:r>
              <w:rPr>
                <w:kern w:val="2"/>
                <w:sz w:val="24"/>
                <w:szCs w:val="21"/>
              </w:rPr>
              <w:t>1</w:t>
            </w:r>
            <w:r>
              <w:rPr>
                <w:rFonts w:hint="eastAsia"/>
                <w:kern w:val="2"/>
                <w:sz w:val="24"/>
                <w:szCs w:val="21"/>
              </w:rPr>
              <w:t>套</w:t>
            </w:r>
          </w:p>
        </w:tc>
        <w:tc>
          <w:tcPr>
            <w:tcW w:w="2517" w:type="dxa"/>
            <w:noWrap w:val="0"/>
            <w:vAlign w:val="center"/>
          </w:tcPr>
          <w:p>
            <w:pPr>
              <w:pStyle w:val="15"/>
              <w:rPr>
                <w:rFonts w:hint="eastAsia"/>
                <w:kern w:val="2"/>
                <w:sz w:val="24"/>
                <w:szCs w:val="21"/>
              </w:rPr>
            </w:pPr>
            <w:r>
              <w:rPr>
                <w:rFonts w:hint="eastAsia" w:ascii="Times New Roman" w:hAnsi="Times New Roman" w:cs="Times New Roman"/>
                <w:kern w:val="2"/>
                <w:sz w:val="24"/>
                <w:szCs w:val="21"/>
              </w:rPr>
              <w:t>合同签订后</w:t>
            </w:r>
            <w:r>
              <w:rPr>
                <w:rFonts w:hint="eastAsia" w:cs="Times New Roman"/>
                <w:color w:val="FF0000"/>
                <w:kern w:val="2"/>
                <w:sz w:val="24"/>
                <w:szCs w:val="21"/>
                <w:lang w:val="en-US" w:eastAsia="zh-CN"/>
              </w:rPr>
              <w:t>180天</w:t>
            </w:r>
            <w:r>
              <w:rPr>
                <w:rFonts w:hint="eastAsia" w:ascii="Times New Roman" w:hAnsi="Times New Roman" w:cs="Times New Roman"/>
                <w:kern w:val="2"/>
                <w:sz w:val="24"/>
                <w:szCs w:val="21"/>
              </w:rPr>
              <w:t>内完成软件安装、调试、培训及上线等全部实施工作。</w:t>
            </w:r>
          </w:p>
        </w:tc>
      </w:tr>
    </w:tbl>
    <w:p/>
    <w:p>
      <w:pPr>
        <w:numPr>
          <w:ilvl w:val="0"/>
          <w:numId w:val="5"/>
        </w:numPr>
        <w:jc w:val="both"/>
        <w:outlineLvl w:val="1"/>
        <w:rPr>
          <w:rFonts w:hint="eastAsia" w:ascii="方正黑体_GBK" w:hAnsi="方正黑体_GBK" w:eastAsia="方正黑体_GBK" w:cs="方正黑体_GBK"/>
          <w:b w:val="0"/>
          <w:bCs/>
          <w:sz w:val="32"/>
          <w:szCs w:val="32"/>
          <w:lang w:val="en-US" w:eastAsia="zh-CN"/>
        </w:rPr>
      </w:pPr>
      <w:r>
        <w:rPr>
          <w:rFonts w:hint="eastAsia" w:ascii="方正楷体_GBK" w:hAnsi="方正楷体_GBK" w:eastAsia="方正楷体_GBK" w:cs="方正楷体_GBK"/>
          <w:b w:val="0"/>
          <w:bCs w:val="0"/>
          <w:sz w:val="32"/>
          <w:szCs w:val="32"/>
          <w:lang w:val="en-US" w:eastAsia="zh-CN"/>
        </w:rPr>
        <w:t>技术规格和配置要求</w:t>
      </w:r>
    </w:p>
    <w:p>
      <w:pPr>
        <w:numPr>
          <w:ilvl w:val="0"/>
          <w:numId w:val="0"/>
        </w:numPr>
        <w:jc w:val="both"/>
        <w:outlineLvl w:val="1"/>
        <w:rPr>
          <w:rFonts w:hint="eastAsia" w:ascii="方正仿宋_GBK" w:hAnsi="方正仿宋_GBK" w:eastAsia="方正仿宋_GBK" w:cs="方正仿宋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产品技术标准要求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outlineLvl w:val="1"/>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互联网医院针对各类常见病和慢病科室，医生通过在线视频、语音、图文的形式，为患者提供线上诊疗服务，方便患者足不出户即可看医生。</w:t>
      </w:r>
    </w:p>
    <w:p>
      <w:pPr>
        <w:numPr>
          <w:ilvl w:val="0"/>
          <w:numId w:val="7"/>
        </w:numPr>
        <w:jc w:val="both"/>
        <w:outlineLvl w:val="1"/>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总体要求</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firstLine="560" w:firstLineChars="200"/>
        <w:jc w:val="both"/>
        <w:textAlignment w:val="auto"/>
        <w:outlineLvl w:val="1"/>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患者端以小程序为载体，结合现有院内的智慧医院服务，实现用户体系共享、产品互通、服务一致（入口一致、UI风格一致等）。</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互联网医院医生端支持小程序、PC端、企业微信多种载体和入口，能够方便医生多种场合灵活接诊。</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提供丰富的医院管理后台功能，包括不限于使用者权限自定义管理，财务对账便捷，多维度数据统计。</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实现与医院现有系统做数据对接，与HIS、LIS、PACS等系统对接，打通患者就医、医疗管理的线上线下全流程。</w:t>
      </w:r>
    </w:p>
    <w:p>
      <w:pPr>
        <w:keepNext w:val="0"/>
        <w:keepLines w:val="0"/>
        <w:pageBreakBefore w:val="0"/>
        <w:widowControl w:val="0"/>
        <w:numPr>
          <w:ilvl w:val="0"/>
          <w:numId w:val="8"/>
        </w:numPr>
        <w:kinsoku/>
        <w:wordWrap/>
        <w:overflowPunct/>
        <w:topLinePunct w:val="0"/>
        <w:autoSpaceDE/>
        <w:autoSpaceDN/>
        <w:bidi w:val="0"/>
        <w:adjustRightInd/>
        <w:snapToGrid/>
        <w:spacing w:line="580" w:lineRule="exact"/>
        <w:ind w:left="0" w:leftChars="0" w:firstLine="560" w:firstLineChars="200"/>
        <w:jc w:val="both"/>
        <w:textAlignment w:val="auto"/>
        <w:outlineLvl w:val="1"/>
        <w:rPr>
          <w:rFonts w:hint="eastAsia" w:ascii="方正仿宋_GBK" w:hAnsi="方正仿宋_GBK" w:eastAsia="方正仿宋_GBK" w:cs="方正仿宋_GBK"/>
          <w:b w:val="0"/>
          <w:bCs/>
          <w:sz w:val="28"/>
          <w:szCs w:val="28"/>
          <w:lang w:val="en-US" w:eastAsia="zh-CN"/>
        </w:rPr>
      </w:pPr>
      <w:r>
        <w:rPr>
          <w:rFonts w:hint="eastAsia" w:ascii="方正仿宋_GBK" w:hAnsi="方正仿宋_GBK" w:eastAsia="方正仿宋_GBK" w:cs="方正仿宋_GBK"/>
          <w:b w:val="0"/>
          <w:bCs/>
          <w:sz w:val="28"/>
          <w:szCs w:val="28"/>
          <w:lang w:val="en-US" w:eastAsia="zh-CN"/>
        </w:rPr>
        <w:t>按照广东省互联网医疗服务监管平台的对接要求，和省平台进行对接，协助医院申请互联网医院营业牌照。</w:t>
      </w:r>
    </w:p>
    <w:p>
      <w:pPr>
        <w:numPr>
          <w:ilvl w:val="0"/>
          <w:numId w:val="7"/>
        </w:numPr>
        <w:jc w:val="both"/>
        <w:outlineLvl w:val="1"/>
        <w:rPr>
          <w:rFonts w:hint="eastAsia" w:ascii="方正黑体_GBK" w:hAnsi="方正黑体_GBK" w:eastAsia="方正黑体_GBK" w:cs="方正黑体_GBK"/>
          <w:b w:val="0"/>
          <w:bCs/>
          <w:sz w:val="28"/>
          <w:szCs w:val="28"/>
          <w:lang w:val="en-US" w:eastAsia="zh-CN"/>
        </w:rPr>
      </w:pPr>
      <w:r>
        <w:rPr>
          <w:rFonts w:hint="eastAsia" w:ascii="方正黑体_GBK" w:hAnsi="方正黑体_GBK" w:eastAsia="方正黑体_GBK" w:cs="方正黑体_GBK"/>
          <w:b w:val="0"/>
          <w:bCs/>
          <w:sz w:val="28"/>
          <w:szCs w:val="28"/>
          <w:lang w:val="en-US" w:eastAsia="zh-CN"/>
        </w:rPr>
        <w:t>技术参数要求</w:t>
      </w:r>
    </w:p>
    <w:tbl>
      <w:tblPr>
        <w:tblStyle w:val="13"/>
        <w:tblW w:w="5000" w:type="pct"/>
        <w:tblInd w:w="0" w:type="dxa"/>
        <w:shd w:val="clear" w:color="auto" w:fill="FFFFFF"/>
        <w:tblLayout w:type="autofit"/>
        <w:tblCellMar>
          <w:top w:w="15" w:type="dxa"/>
          <w:left w:w="15" w:type="dxa"/>
          <w:bottom w:w="15" w:type="dxa"/>
          <w:right w:w="15" w:type="dxa"/>
        </w:tblCellMar>
      </w:tblPr>
      <w:tblGrid>
        <w:gridCol w:w="1157"/>
        <w:gridCol w:w="1303"/>
        <w:gridCol w:w="1303"/>
        <w:gridCol w:w="5815"/>
      </w:tblGrid>
      <w:tr>
        <w:tblPrEx>
          <w:shd w:val="clear" w:color="auto" w:fill="FFFFFF"/>
          <w:tblCellMar>
            <w:top w:w="15" w:type="dxa"/>
            <w:left w:w="15" w:type="dxa"/>
            <w:bottom w:w="15" w:type="dxa"/>
            <w:right w:w="15" w:type="dxa"/>
          </w:tblCellMar>
        </w:tblPrEx>
        <w:trPr>
          <w:trHeight w:val="765" w:hRule="atLeast"/>
        </w:trPr>
        <w:tc>
          <w:tcPr>
            <w:tcW w:w="6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功能模块</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功能名称</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功能细项</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kern w:val="0"/>
                <w:sz w:val="21"/>
                <w:szCs w:val="21"/>
                <w:lang w:bidi="ar"/>
              </w:rPr>
              <w:t>功能描述</w:t>
            </w:r>
          </w:p>
        </w:tc>
      </w:tr>
      <w:tr>
        <w:tblPrEx>
          <w:shd w:val="clear" w:color="auto" w:fill="FFFFFF"/>
          <w:tblCellMar>
            <w:top w:w="15" w:type="dxa"/>
            <w:left w:w="15" w:type="dxa"/>
            <w:bottom w:w="15" w:type="dxa"/>
            <w:right w:w="15" w:type="dxa"/>
          </w:tblCellMar>
        </w:tblPrEx>
        <w:trPr>
          <w:trHeight w:val="1260" w:hRule="atLeast"/>
        </w:trPr>
        <w:tc>
          <w:tcPr>
            <w:tcW w:w="604"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
              <w:tabs>
                <w:tab w:val="left" w:pos="839"/>
              </w:tabs>
              <w:rPr>
                <w:rFonts w:hint="eastAsia" w:ascii="宋体" w:hAnsi="宋体" w:eastAsia="宋体" w:cs="宋体"/>
                <w:sz w:val="21"/>
                <w:szCs w:val="21"/>
                <w:lang w:bidi="ar"/>
              </w:rPr>
            </w:pPr>
            <w:r>
              <w:rPr>
                <w:rFonts w:hint="eastAsia" w:ascii="宋体" w:hAnsi="宋体" w:eastAsia="宋体" w:cs="宋体"/>
                <w:sz w:val="21"/>
                <w:szCs w:val="21"/>
                <w:lang w:bidi="ar"/>
              </w:rPr>
              <w:t>首诊咨询/在线复诊</w:t>
            </w:r>
          </w:p>
        </w:tc>
        <w:tc>
          <w:tcPr>
            <w:tcW w:w="680"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图文/</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视频问诊</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图文问诊</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患者在线选取问诊专家，提交个人信息、主诉、电子病历等就诊信息，支付问诊费用后进行问诊；可发送文字、图片、语音消息，医生接诊过程中可以给患者开立中/西药处方、检查/检验项目。若判断患者的病情不是自己擅长，可退款结束问诊服务</w:t>
            </w:r>
          </w:p>
        </w:tc>
      </w:tr>
      <w:tr>
        <w:tblPrEx>
          <w:shd w:val="clear" w:color="auto" w:fill="FFFFFF"/>
          <w:tblCellMar>
            <w:top w:w="15" w:type="dxa"/>
            <w:left w:w="15" w:type="dxa"/>
            <w:bottom w:w="15" w:type="dxa"/>
            <w:right w:w="15" w:type="dxa"/>
          </w:tblCellMar>
        </w:tblPrEx>
        <w:trPr>
          <w:trHeight w:val="2461"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视频问诊</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患者在线选取问诊专家，提交个人信息、主诉、电子病历等就诊信息，支付问诊费用后进行视频会话问诊；比图文问诊更为直接、高效，医生在接诊过程中可以给患者开立中/西药处方、检查/检验项目。若判断患者的病情不是自己擅长，可分诊至其他医生</w:t>
            </w:r>
          </w:p>
        </w:tc>
      </w:tr>
      <w:tr>
        <w:tblPrEx>
          <w:shd w:val="clear" w:color="auto" w:fill="FFFFFF"/>
          <w:tblCellMar>
            <w:top w:w="15" w:type="dxa"/>
            <w:left w:w="15" w:type="dxa"/>
            <w:bottom w:w="15" w:type="dxa"/>
            <w:right w:w="15" w:type="dxa"/>
          </w:tblCellMar>
        </w:tblPrEx>
        <w:trPr>
          <w:trHeight w:val="28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快捷回复</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支持医生发送和编辑快捷回复模板，提高接诊效率</w:t>
            </w:r>
          </w:p>
        </w:tc>
      </w:tr>
      <w:tr>
        <w:tblPrEx>
          <w:shd w:val="clear" w:color="auto" w:fill="FFFFFF"/>
          <w:tblCellMar>
            <w:top w:w="15" w:type="dxa"/>
            <w:left w:w="15" w:type="dxa"/>
            <w:bottom w:w="15" w:type="dxa"/>
            <w:right w:w="15" w:type="dxa"/>
          </w:tblCellMar>
        </w:tblPrEx>
        <w:trPr>
          <w:trHeight w:val="5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问诊支付</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bidi="ar"/>
              </w:rPr>
              <w:t>患者在问诊的时候，若医生开立了处方、检查检验等项目，可以在线支付费用</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支付退费</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医生端认为问诊不合适，回退退款，后台客服处理退费</w:t>
            </w:r>
          </w:p>
        </w:tc>
      </w:tr>
      <w:tr>
        <w:tblPrEx>
          <w:shd w:val="clear" w:color="auto" w:fill="FFFFFF"/>
          <w:tblCellMar>
            <w:top w:w="15" w:type="dxa"/>
            <w:left w:w="15" w:type="dxa"/>
            <w:bottom w:w="15" w:type="dxa"/>
            <w:right w:w="15" w:type="dxa"/>
          </w:tblCellMar>
        </w:tblPrEx>
        <w:trPr>
          <w:trHeight w:val="1477"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服务评价</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问诊完成后，患者可对医生的服务进行评价和打分，医生端和管理后台均可看到患者的评价情况，并会展示给其他患者。</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问诊记录</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记录每一次问诊，保证所有行为都受监管</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医院品牌</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医院介绍</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医院信息介绍</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科室介绍</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科室信息介绍</w:t>
            </w:r>
          </w:p>
        </w:tc>
      </w:tr>
      <w:tr>
        <w:tblPrEx>
          <w:shd w:val="clear" w:color="auto" w:fill="FFFFFF"/>
          <w:tblCellMar>
            <w:top w:w="15" w:type="dxa"/>
            <w:left w:w="15" w:type="dxa"/>
            <w:bottom w:w="15" w:type="dxa"/>
            <w:right w:w="15" w:type="dxa"/>
          </w:tblCellMar>
        </w:tblPrEx>
        <w:trPr>
          <w:trHeight w:val="36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医生介绍</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1.包括擅长，医生简介，执业经历，荣誉嘉奖，学术成就；</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2.医生品牌主页，增加分享功能，可通过分享转发给微信好友或微信群组。</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医院公告</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医院信息专栏</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患者评价</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患者综合评价医生服务</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个人中心</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就诊人管理</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绑定或解绑就诊人</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医生收藏</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将自己经常看病的医生进行收藏，可快速打开</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问诊订单</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查看在线问诊记录</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处方订单</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查看在线处方订单记录</w:t>
            </w:r>
          </w:p>
        </w:tc>
      </w:tr>
      <w:tr>
        <w:tblPrEx>
          <w:shd w:val="clear" w:color="auto" w:fill="FFFFFF"/>
          <w:tblCellMar>
            <w:top w:w="15" w:type="dxa"/>
            <w:left w:w="15" w:type="dxa"/>
            <w:bottom w:w="15" w:type="dxa"/>
            <w:right w:w="15" w:type="dxa"/>
          </w:tblCellMar>
        </w:tblPrEx>
        <w:trPr>
          <w:trHeight w:val="25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我的圈子</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查看我加入的医生圈子</w:t>
            </w:r>
          </w:p>
        </w:tc>
      </w:tr>
      <w:tr>
        <w:tblPrEx>
          <w:shd w:val="clear" w:color="auto" w:fill="FFFFFF"/>
          <w:tblCellMar>
            <w:top w:w="15" w:type="dxa"/>
            <w:left w:w="15" w:type="dxa"/>
            <w:bottom w:w="15" w:type="dxa"/>
            <w:right w:w="15" w:type="dxa"/>
          </w:tblCellMar>
        </w:tblPrEx>
        <w:trPr>
          <w:trHeight w:val="285"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投诉意见</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对服务质量、软件问题等进行反馈</w:t>
            </w:r>
          </w:p>
        </w:tc>
      </w:tr>
      <w:tr>
        <w:tblPrEx>
          <w:shd w:val="clear" w:color="auto" w:fill="FFFFFF"/>
          <w:tblCellMar>
            <w:top w:w="15" w:type="dxa"/>
            <w:left w:w="15" w:type="dxa"/>
            <w:bottom w:w="15" w:type="dxa"/>
            <w:right w:w="15" w:type="dxa"/>
          </w:tblCellMar>
        </w:tblPrEx>
        <w:trPr>
          <w:trHeight w:val="210" w:hRule="atLeast"/>
        </w:trPr>
        <w:tc>
          <w:tcPr>
            <w:tcW w:w="604"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在线医嘱</w:t>
            </w:r>
          </w:p>
        </w:tc>
        <w:tc>
          <w:tcPr>
            <w:tcW w:w="680"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医嘱&amp;开单</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开医嘱</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写门诊诊断/诊断意见，如果要开检查，开处方则必须开门诊诊断</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开药品处方</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支持在线开中药/西药/中成药处方</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开检查</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申请单</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开检查申请单</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开检验</w:t>
            </w:r>
          </w:p>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申请单</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开检验申请单</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线上病历</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线上电子病历查询</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药品配送（对接院内药房）</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bottom"/>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与第三方物流公司合作给患者配送药品到家</w:t>
            </w:r>
          </w:p>
        </w:tc>
      </w:tr>
      <w:tr>
        <w:tblPrEx>
          <w:shd w:val="clear" w:color="auto" w:fill="FFFFFF"/>
          <w:tblCellMar>
            <w:top w:w="15" w:type="dxa"/>
            <w:left w:w="15" w:type="dxa"/>
            <w:bottom w:w="15" w:type="dxa"/>
            <w:right w:w="15" w:type="dxa"/>
          </w:tblCellMar>
        </w:tblPrEx>
        <w:trPr>
          <w:trHeight w:val="210" w:hRule="atLeast"/>
        </w:trPr>
        <w:tc>
          <w:tcPr>
            <w:tcW w:w="6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CA认证</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CA认证</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CA认证</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医生通过互联网医院开具电子处方、检查检验后进使用电子签名进行认证</w:t>
            </w:r>
          </w:p>
        </w:tc>
      </w:tr>
      <w:tr>
        <w:tblPrEx>
          <w:shd w:val="clear" w:color="auto" w:fill="FFFFFF"/>
          <w:tblCellMar>
            <w:top w:w="15" w:type="dxa"/>
            <w:left w:w="15" w:type="dxa"/>
            <w:bottom w:w="15" w:type="dxa"/>
            <w:right w:w="15" w:type="dxa"/>
          </w:tblCellMar>
        </w:tblPrEx>
        <w:trPr>
          <w:trHeight w:val="210" w:hRule="atLeast"/>
        </w:trPr>
        <w:tc>
          <w:tcPr>
            <w:tcW w:w="604"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合理用药</w:t>
            </w:r>
          </w:p>
        </w:tc>
        <w:tc>
          <w:tcPr>
            <w:tcW w:w="680"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智能审方</w:t>
            </w: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事前过滤</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在医生开处方阶段，对安全性进行基础过滤</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事中干预</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药师从安全性、有效性、经济性、适当性方面对处方进行全面审核</w:t>
            </w:r>
          </w:p>
        </w:tc>
      </w:tr>
      <w:tr>
        <w:tblPrEx>
          <w:shd w:val="clear" w:color="auto" w:fill="FFFFFF"/>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68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事后点评</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对医师、药师存疑的处方意见进行点评，更新规则</w:t>
            </w:r>
          </w:p>
        </w:tc>
      </w:tr>
      <w:tr>
        <w:tblPrEx>
          <w:tblCellMar>
            <w:top w:w="15" w:type="dxa"/>
            <w:left w:w="15" w:type="dxa"/>
            <w:bottom w:w="15" w:type="dxa"/>
            <w:right w:w="15" w:type="dxa"/>
          </w:tblCellMar>
        </w:tblPrEx>
        <w:trPr>
          <w:trHeight w:val="210" w:hRule="atLeast"/>
        </w:trPr>
        <w:tc>
          <w:tcPr>
            <w:tcW w:w="604" w:type="pct"/>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p>
        </w:tc>
        <w:tc>
          <w:tcPr>
            <w:tcW w:w="1360"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药品规则库</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医院智能审方规则的可视化展现和全景编辑，并提供规则数据统计</w:t>
            </w:r>
          </w:p>
        </w:tc>
      </w:tr>
      <w:tr>
        <w:tblPrEx>
          <w:tblCellMar>
            <w:top w:w="15" w:type="dxa"/>
            <w:left w:w="15" w:type="dxa"/>
            <w:bottom w:w="15" w:type="dxa"/>
            <w:right w:w="15" w:type="dxa"/>
          </w:tblCellMar>
        </w:tblPrEx>
        <w:trPr>
          <w:trHeight w:val="660" w:hRule="atLeast"/>
        </w:trPr>
        <w:tc>
          <w:tcPr>
            <w:tcW w:w="1964"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医生端PC端/企业微信端</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医生通过PC端或者企业微信在线接诊，消息与小程序端同步</w:t>
            </w:r>
          </w:p>
        </w:tc>
      </w:tr>
      <w:tr>
        <w:tblPrEx>
          <w:tblCellMar>
            <w:top w:w="15" w:type="dxa"/>
            <w:left w:w="15" w:type="dxa"/>
            <w:bottom w:w="15" w:type="dxa"/>
            <w:right w:w="15" w:type="dxa"/>
          </w:tblCellMar>
        </w:tblPrEx>
        <w:trPr>
          <w:trHeight w:val="660" w:hRule="atLeast"/>
        </w:trPr>
        <w:tc>
          <w:tcPr>
            <w:tcW w:w="1964"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对接监管平台</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对接监管平台，按要求上传相关数据</w:t>
            </w:r>
          </w:p>
        </w:tc>
      </w:tr>
      <w:tr>
        <w:tblPrEx>
          <w:tblCellMar>
            <w:top w:w="15" w:type="dxa"/>
            <w:left w:w="15" w:type="dxa"/>
            <w:bottom w:w="15" w:type="dxa"/>
            <w:right w:w="15" w:type="dxa"/>
          </w:tblCellMar>
        </w:tblPrEx>
        <w:trPr>
          <w:trHeight w:val="510" w:hRule="atLeast"/>
        </w:trPr>
        <w:tc>
          <w:tcPr>
            <w:tcW w:w="1964"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互联网就诊使用流程指引</w:t>
            </w:r>
          </w:p>
        </w:tc>
        <w:tc>
          <w:tcPr>
            <w:tcW w:w="303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互联网使用流程指引，方便患者快速上手</w:t>
            </w:r>
          </w:p>
        </w:tc>
      </w:tr>
    </w:tbl>
    <w:p>
      <w:pPr>
        <w:ind w:left="0" w:leftChars="0" w:firstLine="0" w:firstLineChars="0"/>
        <w:rPr>
          <w:rFonts w:hint="eastAsia"/>
        </w:rPr>
      </w:pPr>
    </w:p>
    <w:p>
      <w:pPr>
        <w:pStyle w:val="5"/>
        <w:numPr>
          <w:ilvl w:val="2"/>
          <w:numId w:val="0"/>
        </w:numPr>
        <w:spacing w:before="156" w:after="156"/>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lang w:val="en-US" w:eastAsia="zh-CN"/>
        </w:rPr>
        <w:t>2.</w:t>
      </w:r>
      <w:r>
        <w:rPr>
          <w:rFonts w:hint="eastAsia" w:ascii="方正黑体_GBK" w:hAnsi="方正黑体_GBK" w:eastAsia="方正黑体_GBK" w:cs="方正黑体_GBK"/>
          <w:b w:val="0"/>
          <w:bCs/>
          <w:sz w:val="32"/>
          <w:szCs w:val="32"/>
        </w:rPr>
        <w:t>其他要求</w:t>
      </w:r>
    </w:p>
    <w:p>
      <w:pPr>
        <w:pStyle w:val="6"/>
        <w:numPr>
          <w:ilvl w:val="3"/>
          <w:numId w:val="0"/>
        </w:numPr>
        <w:spacing w:before="156" w:after="156"/>
        <w:ind w:left="549" w:leftChars="0"/>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lang w:eastAsia="zh-CN"/>
        </w:rPr>
        <w:t>（一）</w:t>
      </w:r>
      <w:r>
        <w:rPr>
          <w:rFonts w:hint="eastAsia" w:ascii="方正楷体_GBK" w:hAnsi="方正楷体_GBK" w:eastAsia="方正楷体_GBK" w:cs="方正楷体_GBK"/>
          <w:b w:val="0"/>
          <w:bCs/>
          <w:sz w:val="32"/>
          <w:szCs w:val="32"/>
        </w:rPr>
        <w:t>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before="156" w:after="156"/>
        <w:ind w:firstLine="562"/>
        <w:rPr>
          <w:rFonts w:hint="eastAsia" w:ascii="方正楷体_GBK" w:hAnsi="方正楷体_GBK" w:eastAsia="方正楷体_GBK" w:cs="方正楷体_GBK"/>
          <w:b w:val="0"/>
          <w:bCs/>
          <w:snapToGrid w:val="0"/>
          <w:kern w:val="0"/>
          <w:sz w:val="32"/>
          <w:szCs w:val="32"/>
          <w:lang w:val="en-US" w:eastAsia="zh-CN" w:bidi="ar-SA"/>
        </w:rPr>
      </w:pPr>
      <w:r>
        <w:rPr>
          <w:rFonts w:hint="eastAsia" w:ascii="方正楷体_GBK" w:hAnsi="方正楷体_GBK" w:eastAsia="方正楷体_GBK" w:cs="方正楷体_GBK"/>
          <w:b w:val="0"/>
          <w:bCs/>
          <w:snapToGrid w:val="0"/>
          <w:kern w:val="0"/>
          <w:sz w:val="32"/>
          <w:szCs w:val="32"/>
          <w:lang w:val="en-US" w:eastAsia="zh-CN" w:bidi="ar-SA"/>
        </w:rPr>
        <w:t>（二）培训</w:t>
      </w:r>
    </w:p>
    <w:p>
      <w:pPr>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1、培训：培训对象包括系统管理员、医院管理人员、操作员，系统管理人员培训内容为系统中涉及的相关技术内容；医院管理人员培训内容为系统流程和相关管理思想；操作员为系统的操作培训。</w:t>
      </w:r>
    </w:p>
    <w:p>
      <w:pPr>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2、根据医院的情况制定相关培训方案，课程设置等。包括培训资料、讲义等。</w:t>
      </w:r>
    </w:p>
    <w:p>
      <w:pPr>
        <w:keepNext w:val="0"/>
        <w:keepLines w:val="0"/>
        <w:pageBreakBefore w:val="0"/>
        <w:widowControl w:val="0"/>
        <w:kinsoku/>
        <w:wordWrap/>
        <w:overflowPunct/>
        <w:topLinePunct w:val="0"/>
        <w:autoSpaceDE/>
        <w:autoSpaceDN/>
        <w:bidi w:val="0"/>
        <w:adjustRightInd/>
        <w:snapToGrid/>
        <w:spacing w:line="580" w:lineRule="exact"/>
        <w:ind w:left="0" w:hanging="560" w:hanging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3、所有的培训费用必须计入投标总价。</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1、交货或服务时间、地点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（1）项目工期要求∶合同签订后</w:t>
      </w:r>
      <w:r>
        <w:rPr>
          <w:rFonts w:hint="eastAsia" w:ascii="方正仿宋_GBK" w:hAnsi="方正仿宋_GBK" w:eastAsia="方正仿宋_GBK" w:cs="方正仿宋_GBK"/>
          <w:sz w:val="28"/>
          <w:szCs w:val="28"/>
          <w:lang w:val="en-US" w:eastAsia="zh-CN"/>
        </w:rPr>
        <w:t>180天</w:t>
      </w:r>
      <w:r>
        <w:rPr>
          <w:rFonts w:hint="eastAsia" w:ascii="方正仿宋_GBK" w:hAnsi="方正仿宋_GBK" w:eastAsia="方正仿宋_GBK" w:cs="方正仿宋_GBK"/>
          <w:sz w:val="28"/>
          <w:szCs w:val="28"/>
        </w:rPr>
        <w:t>内完成软件安装、调试、培训及上线等全部实施工作。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2、验收要求</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（1）当满足以下条件时，采购人才向中标人签发验收报告：</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A、中标人已按照合同规定提供了全部产品及完整的技术资料。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napToGrid w:val="0"/>
          <w:kern w:val="0"/>
          <w:sz w:val="28"/>
          <w:szCs w:val="28"/>
          <w:lang w:val="en-US" w:eastAsia="zh-CN" w:bidi="ar"/>
        </w:rPr>
        <w:t>B、交付产品符合招标文件各项技术要求，性能满足要求。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napToGrid w:val="0"/>
          <w:kern w:val="0"/>
          <w:sz w:val="28"/>
          <w:szCs w:val="28"/>
          <w:lang w:val="en-US" w:eastAsia="zh-CN" w:bidi="ar"/>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项目完工后试用</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工作日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（2）中标人应负责在项目验收前将项目的所有相关软硬件产品，以及有关产品和系统的说明书、安装手册、安装、验收报告等文档交付用户单位才予验收。</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（3）中标人应根据系统设计方案提出验收方案和验收文档清单（包含软件功能、实施上线、运行维护等阶段），用户将根据验收方案对系统每个部分逐一进行项目验收。 </w:t>
      </w:r>
    </w:p>
    <w:p>
      <w:pPr>
        <w:pStyle w:val="12"/>
        <w:keepNext w:val="0"/>
        <w:keepLines w:val="0"/>
        <w:widowControl/>
        <w:suppressLineNumbers w:val="0"/>
        <w:spacing w:before="0" w:beforeAutospacing="0" w:after="0" w:afterAutospacing="0"/>
        <w:ind w:left="0" w:right="0" w:firstLine="0"/>
        <w:outlineLvl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3、售后服务要求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软件免费保修期1年，质保期内，应用软件的升级、维护均免费。时间自最终验收合格并交付使用之日起计算。</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质保期过后，投标人应提供系统软件终身维护服务，具体维护费用由医院和中标人通过合同或协议商定。</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textAlignment w:val="auto"/>
        <w:outlineLvl w:val="4"/>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（1）日常维护</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基础硬件设施维护</w:t>
      </w:r>
    </w:p>
    <w:p>
      <w:pPr>
        <w:pStyle w:val="12"/>
        <w:keepNext w:val="0"/>
        <w:keepLines w:val="0"/>
        <w:pageBreakBefore w:val="0"/>
        <w:widowControl/>
        <w:numPr>
          <w:ilvl w:val="0"/>
          <w:numId w:val="9"/>
        </w:numPr>
        <w:suppressLineNumbers w:val="0"/>
        <w:kinsoku/>
        <w:wordWrap/>
        <w:overflowPunct/>
        <w:topLinePunct w:val="0"/>
        <w:autoSpaceDE/>
        <w:autoSpaceDN/>
        <w:bidi w:val="0"/>
        <w:adjustRightInd/>
        <w:snapToGrid/>
        <w:spacing w:before="0" w:beforeAutospacing="0" w:after="0" w:afterAutospacing="0" w:line="580" w:lineRule="exact"/>
        <w:ind w:left="420" w:leftChars="0" w:right="0" w:hanging="420" w:firstLineChars="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软件维护及升级更新</w:t>
      </w:r>
    </w:p>
    <w:p>
      <w:pPr>
        <w:pStyle w:val="12"/>
        <w:keepNext w:val="0"/>
        <w:keepLines w:val="0"/>
        <w:widowControl/>
        <w:numPr>
          <w:ilvl w:val="0"/>
          <w:numId w:val="10"/>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电话支持及上门技术支持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提供7X24电话支持服务，24小时内上门技术支持服务，通过电话进行问题答疑、事件排错和上门技术支持等服务。</w:t>
      </w:r>
    </w:p>
    <w:p>
      <w:pPr>
        <w:pStyle w:val="12"/>
        <w:keepNext w:val="0"/>
        <w:keepLines w:val="0"/>
        <w:widowControl/>
        <w:numPr>
          <w:ilvl w:val="0"/>
          <w:numId w:val="10"/>
        </w:numPr>
        <w:suppressLineNumbers w:val="0"/>
        <w:spacing w:before="0" w:beforeAutospacing="0" w:after="0" w:afterAutospacing="0"/>
        <w:ind w:leftChars="0" w:right="0" w:rightChars="0"/>
        <w:outlineLvl w:val="4"/>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突发状况支持</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现场工程师能够解决大部分的运维问题，但是遇到一些复杂事件以及一些现场工程师解决有困难的事件，需成立专家组，提供二线全方位支持。</w:t>
      </w:r>
    </w:p>
    <w:p>
      <w:pPr>
        <w:pStyle w:val="12"/>
        <w:keepNext w:val="0"/>
        <w:keepLines w:val="0"/>
        <w:widowControl/>
        <w:numPr>
          <w:ilvl w:val="0"/>
          <w:numId w:val="11"/>
        </w:numPr>
        <w:suppressLineNumbers w:val="0"/>
        <w:spacing w:before="0" w:beforeAutospacing="0" w:after="0" w:afterAutospacing="0"/>
        <w:ind w:leftChars="0"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付款要求</w:t>
      </w:r>
    </w:p>
    <w:p>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合同签订后三十个工作日内，甲方收到乙方开具的发票后，向乙方,甲方向乙方支付合同金额的30%；</w:t>
      </w:r>
    </w:p>
    <w:p>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项目实施完成并通过甲方最终签字验收合格后，甲方收到发票后三十个工作日内，甲方向乙方支付合同金额的60%。</w:t>
      </w:r>
    </w:p>
    <w:p>
      <w:pPr>
        <w:pStyle w:val="12"/>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在本项目通过整体验收之日起，一年质保期满后，产品无质量问题并且乙方无违约行为，甲方向乙方支付合同总金额的10%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2"/>
        <w:keepNext w:val="0"/>
        <w:keepLines w:val="0"/>
        <w:widowControl/>
        <w:numPr>
          <w:ilvl w:val="0"/>
          <w:numId w:val="13"/>
        </w:numPr>
        <w:suppressLineNumbers w:val="0"/>
        <w:spacing w:before="0" w:beforeAutospacing="0" w:after="0" w:afterAutospacing="0"/>
        <w:ind w:right="0" w:rightChars="0"/>
        <w:outlineLvl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其他要求</w:t>
      </w:r>
    </w:p>
    <w:p>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2"/>
        <w:keepNext w:val="0"/>
        <w:keepLines w:val="0"/>
        <w:pageBreakBefore w:val="0"/>
        <w:widowControl/>
        <w:numPr>
          <w:ilvl w:val="0"/>
          <w:numId w:val="14"/>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2"/>
        <w:keepNext w:val="0"/>
        <w:keepLines w:val="0"/>
        <w:widowControl/>
        <w:numPr>
          <w:ilvl w:val="0"/>
          <w:numId w:val="11"/>
        </w:numPr>
        <w:suppressLineNumbers w:val="0"/>
        <w:spacing w:before="0" w:beforeAutospacing="0" w:after="0" w:afterAutospacing="0"/>
        <w:ind w:left="0" w:leftChars="0" w:right="0" w:rightChars="0" w:firstLine="0" w:firstLine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同意招标方以任何形式对我方投标文件内容及招标方认为有必要的相关资料的真实性和有效性进行审查、验证。</w:t>
      </w:r>
    </w:p>
    <w:p>
      <w:pPr>
        <w:pStyle w:val="12"/>
        <w:keepNext w:val="0"/>
        <w:keepLines w:val="0"/>
        <w:widowControl/>
        <w:numPr>
          <w:ilvl w:val="0"/>
          <w:numId w:val="11"/>
        </w:numPr>
        <w:suppressLineNumbers w:val="0"/>
        <w:spacing w:before="0" w:beforeAutospacing="0" w:after="0" w:afterAutospacing="0"/>
        <w:ind w:left="0" w:leftChars="0" w:right="0" w:rightChars="0" w:firstLine="0" w:firstLine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供应商保证所使用软件的产权合法性，任何知识产权纠纷与甲方无关。</w:t>
      </w:r>
    </w:p>
    <w:p>
      <w:pPr>
        <w:pStyle w:val="4"/>
        <w:spacing w:line="415" w:lineRule="auto"/>
      </w:pPr>
      <w:r>
        <w:rPr>
          <w:rFonts w:hint="eastAsia"/>
        </w:rPr>
        <w:t>二、评标细则</w:t>
      </w:r>
    </w:p>
    <w:p/>
    <w:tbl>
      <w:tblPr>
        <w:tblStyle w:val="13"/>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992"/>
        <w:gridCol w:w="581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30" w:type="dxa"/>
            <w:gridSpan w:val="2"/>
            <w:shd w:val="clear" w:color="auto" w:fill="D7D7D7"/>
            <w:noWrap w:val="0"/>
            <w:vAlign w:val="center"/>
          </w:tcPr>
          <w:p>
            <w:pPr>
              <w:ind w:firstLine="211" w:firstLineChars="100"/>
              <w:jc w:val="center"/>
              <w:rPr>
                <w:rFonts w:hint="eastAsia" w:ascii="宋体" w:hAnsi="宋体" w:eastAsia="宋体" w:cs="宋体"/>
                <w:b/>
                <w:bCs/>
                <w:sz w:val="21"/>
                <w:szCs w:val="21"/>
              </w:rPr>
            </w:pPr>
            <w:r>
              <w:rPr>
                <w:rFonts w:hint="eastAsia" w:ascii="宋体" w:hAnsi="宋体" w:eastAsia="宋体" w:cs="宋体"/>
                <w:b/>
                <w:bCs/>
                <w:sz w:val="21"/>
                <w:szCs w:val="21"/>
              </w:rPr>
              <w:t>评分因素</w:t>
            </w:r>
          </w:p>
        </w:tc>
        <w:tc>
          <w:tcPr>
            <w:tcW w:w="5812" w:type="dxa"/>
            <w:shd w:val="clear" w:color="auto" w:fill="D7D7D7"/>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评分细则</w:t>
            </w:r>
          </w:p>
        </w:tc>
        <w:tc>
          <w:tcPr>
            <w:tcW w:w="838" w:type="dxa"/>
            <w:shd w:val="clear" w:color="auto" w:fill="D7D7D7"/>
            <w:noWrap w:val="0"/>
            <w:vAlign w:val="top"/>
          </w:tcPr>
          <w:p>
            <w:pPr>
              <w:jc w:val="center"/>
              <w:rPr>
                <w:rFonts w:hint="eastAsia" w:ascii="宋体" w:hAnsi="宋体" w:eastAsia="宋体" w:cs="宋体"/>
                <w:b/>
                <w:bCs/>
                <w:sz w:val="21"/>
                <w:szCs w:val="21"/>
              </w:rPr>
            </w:pPr>
            <w:r>
              <w:rPr>
                <w:rFonts w:hint="eastAsia" w:ascii="宋体" w:hAnsi="宋体" w:eastAsia="宋体" w:cs="宋体"/>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680" w:type="dxa"/>
            <w:gridSpan w:val="4"/>
            <w:noWrap w:val="0"/>
            <w:vAlign w:val="center"/>
          </w:tcPr>
          <w:p>
            <w:pPr>
              <w:jc w:val="left"/>
              <w:rPr>
                <w:rFonts w:hint="eastAsia" w:ascii="宋体" w:hAnsi="宋体" w:eastAsia="宋体" w:cs="宋体"/>
                <w:sz w:val="21"/>
                <w:szCs w:val="21"/>
              </w:rPr>
            </w:pPr>
            <w:r>
              <w:rPr>
                <w:rFonts w:hint="eastAsia" w:ascii="宋体" w:hAnsi="宋体" w:eastAsia="宋体" w:cs="宋体"/>
                <w:b/>
                <w:sz w:val="21"/>
                <w:szCs w:val="21"/>
              </w:rPr>
              <w:t>（1）技术评审（70分）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38" w:type="dxa"/>
            <w:noWrap w:val="0"/>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1</w:t>
            </w:r>
          </w:p>
        </w:tc>
        <w:tc>
          <w:tcPr>
            <w:tcW w:w="992"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企业</w:t>
            </w:r>
          </w:p>
          <w:p>
            <w:pPr>
              <w:jc w:val="center"/>
              <w:rPr>
                <w:rFonts w:hint="eastAsia" w:ascii="宋体" w:hAnsi="宋体" w:eastAsia="宋体" w:cs="宋体"/>
                <w:b/>
                <w:bCs/>
                <w:sz w:val="21"/>
                <w:szCs w:val="21"/>
              </w:rPr>
            </w:pPr>
            <w:r>
              <w:rPr>
                <w:rFonts w:hint="eastAsia" w:ascii="宋体" w:hAnsi="宋体" w:eastAsia="宋体" w:cs="宋体"/>
                <w:b/>
                <w:bCs/>
                <w:sz w:val="21"/>
                <w:szCs w:val="21"/>
              </w:rPr>
              <w:t>资质</w:t>
            </w:r>
          </w:p>
        </w:tc>
        <w:tc>
          <w:tcPr>
            <w:tcW w:w="5812" w:type="dxa"/>
            <w:noWrap w:val="0"/>
            <w:vAlign w:val="top"/>
          </w:tcPr>
          <w:p>
            <w:pPr>
              <w:numPr>
                <w:ilvl w:val="0"/>
                <w:numId w:val="15"/>
              </w:numPr>
              <w:ind w:left="357" w:hanging="357"/>
              <w:rPr>
                <w:rFonts w:hint="eastAsia" w:ascii="宋体" w:hAnsi="宋体" w:eastAsia="宋体" w:cs="宋体"/>
                <w:sz w:val="21"/>
                <w:szCs w:val="21"/>
              </w:rPr>
            </w:pPr>
            <w:r>
              <w:rPr>
                <w:rFonts w:hint="eastAsia" w:ascii="宋体" w:hAnsi="宋体" w:eastAsia="宋体" w:cs="宋体"/>
                <w:sz w:val="21"/>
                <w:szCs w:val="21"/>
              </w:rPr>
              <w:t>投标人具有高新技术企业证书得</w:t>
            </w:r>
            <w:r>
              <w:rPr>
                <w:rFonts w:hint="eastAsia" w:ascii="宋体" w:hAnsi="宋体" w:eastAsia="宋体" w:cs="宋体"/>
                <w:sz w:val="21"/>
                <w:szCs w:val="21"/>
                <w:lang w:eastAsia="zh-CN"/>
              </w:rPr>
              <w:t>3</w:t>
            </w:r>
            <w:r>
              <w:rPr>
                <w:rFonts w:hint="eastAsia" w:ascii="宋体" w:hAnsi="宋体" w:eastAsia="宋体" w:cs="宋体"/>
                <w:sz w:val="21"/>
                <w:szCs w:val="21"/>
              </w:rPr>
              <w:t>分，提供相关证明材料复印件并加盖公章。没有或未提供证明材料本项不得分；</w:t>
            </w:r>
          </w:p>
          <w:p>
            <w:pPr>
              <w:numPr>
                <w:ilvl w:val="0"/>
                <w:numId w:val="15"/>
              </w:numPr>
              <w:ind w:left="357" w:hanging="357"/>
              <w:rPr>
                <w:rFonts w:hint="eastAsia" w:ascii="宋体" w:hAnsi="宋体" w:eastAsia="宋体" w:cs="宋体"/>
                <w:sz w:val="21"/>
                <w:szCs w:val="21"/>
              </w:rPr>
            </w:pPr>
            <w:r>
              <w:rPr>
                <w:rFonts w:hint="eastAsia" w:ascii="宋体" w:hAnsi="宋体" w:eastAsia="宋体" w:cs="宋体"/>
                <w:sz w:val="21"/>
                <w:szCs w:val="21"/>
              </w:rPr>
              <w:t>投标人具有软件能力成熟度模型集成（CMMI）五级得</w:t>
            </w:r>
            <w:r>
              <w:rPr>
                <w:rFonts w:hint="eastAsia" w:ascii="宋体" w:hAnsi="宋体" w:eastAsia="宋体" w:cs="宋体"/>
                <w:sz w:val="21"/>
                <w:szCs w:val="21"/>
                <w:lang w:val="en-US" w:eastAsia="zh-CN"/>
              </w:rPr>
              <w:t>3</w:t>
            </w:r>
            <w:r>
              <w:rPr>
                <w:rFonts w:hint="eastAsia" w:ascii="宋体" w:hAnsi="宋体" w:eastAsia="宋体" w:cs="宋体"/>
                <w:sz w:val="21"/>
                <w:szCs w:val="21"/>
              </w:rPr>
              <w:t>分，获得三级或四级资质认证证书得</w:t>
            </w:r>
            <w:r>
              <w:rPr>
                <w:rFonts w:hint="eastAsia" w:ascii="宋体" w:hAnsi="宋体" w:eastAsia="宋体" w:cs="宋体"/>
                <w:sz w:val="21"/>
                <w:szCs w:val="21"/>
                <w:lang w:eastAsia="zh-CN"/>
              </w:rPr>
              <w:t>2</w:t>
            </w:r>
            <w:r>
              <w:rPr>
                <w:rFonts w:hint="eastAsia" w:ascii="宋体" w:hAnsi="宋体" w:eastAsia="宋体" w:cs="宋体"/>
                <w:sz w:val="21"/>
                <w:szCs w:val="21"/>
              </w:rPr>
              <w:t>分，提供该认证证书复印件并加盖公章，没有或未提供证明材料本项不得分。</w:t>
            </w:r>
          </w:p>
          <w:p>
            <w:pPr>
              <w:numPr>
                <w:ilvl w:val="0"/>
                <w:numId w:val="15"/>
              </w:numPr>
              <w:ind w:left="357" w:hanging="357"/>
              <w:rPr>
                <w:rFonts w:hint="eastAsia" w:ascii="宋体" w:hAnsi="宋体" w:eastAsia="宋体" w:cs="宋体"/>
                <w:sz w:val="21"/>
                <w:szCs w:val="21"/>
              </w:rPr>
            </w:pPr>
            <w:r>
              <w:rPr>
                <w:rFonts w:hint="eastAsia" w:ascii="宋体" w:hAnsi="宋体" w:eastAsia="宋体" w:cs="宋体"/>
                <w:sz w:val="21"/>
                <w:szCs w:val="21"/>
              </w:rPr>
              <w:t>投标人研发的互联网医院信息系统通过安全等级保护三级测评得</w:t>
            </w:r>
            <w:r>
              <w:rPr>
                <w:rFonts w:hint="eastAsia" w:ascii="宋体" w:hAnsi="宋体" w:eastAsia="宋体" w:cs="宋体"/>
                <w:sz w:val="21"/>
                <w:szCs w:val="21"/>
                <w:lang w:eastAsia="zh-CN"/>
              </w:rPr>
              <w:t>3</w:t>
            </w:r>
            <w:r>
              <w:rPr>
                <w:rFonts w:hint="eastAsia" w:ascii="宋体" w:hAnsi="宋体" w:eastAsia="宋体" w:cs="宋体"/>
                <w:sz w:val="21"/>
                <w:szCs w:val="21"/>
              </w:rPr>
              <w:t>分。提供备案证明材料并加盖公章，没有或未提供证明材料本项不得分。</w:t>
            </w:r>
          </w:p>
          <w:p>
            <w:pPr>
              <w:numPr>
                <w:ilvl w:val="0"/>
                <w:numId w:val="15"/>
              </w:numPr>
              <w:ind w:left="357" w:hanging="357"/>
              <w:rPr>
                <w:rFonts w:hint="eastAsia" w:ascii="宋体" w:hAnsi="宋体" w:eastAsia="宋体" w:cs="宋体"/>
                <w:sz w:val="21"/>
                <w:szCs w:val="21"/>
              </w:rPr>
            </w:pPr>
            <w:r>
              <w:rPr>
                <w:rFonts w:hint="eastAsia" w:ascii="宋体" w:hAnsi="宋体" w:eastAsia="宋体" w:cs="宋体"/>
                <w:sz w:val="21"/>
                <w:szCs w:val="21"/>
              </w:rPr>
              <w:t>投标人提供有效的ISO 9001质量管理体系认证，且认证范围为医疗行业的，得</w:t>
            </w:r>
            <w:r>
              <w:rPr>
                <w:rFonts w:hint="eastAsia" w:ascii="宋体" w:hAnsi="宋体" w:eastAsia="宋体" w:cs="宋体"/>
                <w:sz w:val="21"/>
                <w:szCs w:val="21"/>
                <w:lang w:eastAsia="zh-CN"/>
              </w:rPr>
              <w:t>3</w:t>
            </w:r>
            <w:r>
              <w:rPr>
                <w:rFonts w:hint="eastAsia" w:ascii="宋体" w:hAnsi="宋体" w:eastAsia="宋体" w:cs="宋体"/>
                <w:sz w:val="21"/>
                <w:szCs w:val="21"/>
              </w:rPr>
              <w:t>分，提供相关证明材料复印件，没有或未提供证明材料本项不得分。</w:t>
            </w:r>
          </w:p>
          <w:p>
            <w:pPr>
              <w:numPr>
                <w:ilvl w:val="0"/>
                <w:numId w:val="15"/>
              </w:numPr>
              <w:ind w:left="357" w:hanging="357"/>
              <w:rPr>
                <w:rFonts w:hint="eastAsia" w:ascii="宋体" w:hAnsi="宋体" w:eastAsia="宋体" w:cs="宋体"/>
              </w:rPr>
            </w:pPr>
            <w:r>
              <w:rPr>
                <w:rFonts w:hint="eastAsia" w:ascii="宋体" w:hAnsi="宋体" w:eastAsia="宋体" w:cs="宋体"/>
                <w:sz w:val="21"/>
                <w:szCs w:val="21"/>
              </w:rPr>
              <w:t>投标人具有互联网药品信息服务资格证书得</w:t>
            </w:r>
            <w:r>
              <w:rPr>
                <w:rFonts w:hint="eastAsia" w:ascii="宋体" w:hAnsi="宋体" w:eastAsia="宋体" w:cs="宋体"/>
                <w:sz w:val="21"/>
                <w:szCs w:val="21"/>
                <w:lang w:eastAsia="zh-CN"/>
              </w:rPr>
              <w:t>3</w:t>
            </w:r>
            <w:r>
              <w:rPr>
                <w:rFonts w:hint="eastAsia" w:ascii="宋体" w:hAnsi="宋体" w:eastAsia="宋体" w:cs="宋体"/>
                <w:sz w:val="21"/>
                <w:szCs w:val="21"/>
              </w:rPr>
              <w:t>分，否则不得分。提供该认证证书复印件并加盖公章，没有或未提供证明材料本项不得分。</w:t>
            </w:r>
          </w:p>
          <w:p>
            <w:pPr>
              <w:numPr>
                <w:ilvl w:val="0"/>
                <w:numId w:val="15"/>
              </w:numPr>
              <w:ind w:left="357" w:hanging="357"/>
              <w:rPr>
                <w:rFonts w:hint="eastAsia" w:ascii="宋体" w:hAnsi="宋体" w:eastAsia="宋体" w:cs="宋体"/>
              </w:rPr>
            </w:pPr>
            <w:r>
              <w:rPr>
                <w:rFonts w:hint="eastAsia" w:ascii="宋体" w:hAnsi="宋体" w:eastAsia="宋体" w:cs="宋体"/>
              </w:rPr>
              <w:t>投标人具有“守合同重信用证书”</w:t>
            </w:r>
            <w:r>
              <w:rPr>
                <w:rFonts w:hint="eastAsia" w:ascii="宋体" w:hAnsi="宋体" w:eastAsia="宋体" w:cs="宋体"/>
                <w:lang w:eastAsia="zh-CN"/>
              </w:rPr>
              <w:t>或“重合同守信用”信用企业证书</w:t>
            </w:r>
            <w:r>
              <w:rPr>
                <w:rFonts w:hint="eastAsia" w:ascii="宋体" w:hAnsi="宋体" w:eastAsia="宋体" w:cs="宋体"/>
              </w:rPr>
              <w:t>得</w:t>
            </w:r>
            <w:r>
              <w:rPr>
                <w:rFonts w:hint="eastAsia" w:ascii="宋体" w:hAnsi="宋体" w:eastAsia="宋体" w:cs="宋体"/>
                <w:lang w:eastAsia="zh-CN"/>
              </w:rPr>
              <w:t>3</w:t>
            </w:r>
            <w:r>
              <w:rPr>
                <w:rFonts w:hint="eastAsia" w:ascii="宋体" w:hAnsi="宋体" w:eastAsia="宋体" w:cs="宋体"/>
              </w:rPr>
              <w:t>分</w:t>
            </w:r>
            <w:r>
              <w:rPr>
                <w:rFonts w:hint="eastAsia" w:ascii="宋体" w:hAnsi="宋体" w:eastAsia="宋体" w:cs="宋体"/>
                <w:lang w:eastAsia="zh-CN"/>
              </w:rPr>
              <w:t>，</w:t>
            </w:r>
            <w:r>
              <w:rPr>
                <w:rFonts w:hint="eastAsia" w:ascii="宋体" w:hAnsi="宋体" w:eastAsia="宋体" w:cs="宋体"/>
              </w:rPr>
              <w:t>提供复印件并加盖公章</w:t>
            </w:r>
            <w:r>
              <w:rPr>
                <w:rFonts w:hint="eastAsia" w:ascii="宋体" w:hAnsi="宋体" w:eastAsia="宋体" w:cs="宋体"/>
                <w:lang w:eastAsia="zh-CN"/>
              </w:rPr>
              <w:t>，</w:t>
            </w:r>
            <w:r>
              <w:rPr>
                <w:rFonts w:hint="eastAsia" w:ascii="宋体" w:hAnsi="宋体" w:eastAsia="宋体" w:cs="宋体"/>
                <w:sz w:val="21"/>
                <w:szCs w:val="21"/>
              </w:rPr>
              <w:t>没有或未提供证明材料本项不得分。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（以上材料需提供复印件并加盖原厂公章）</w:t>
            </w:r>
          </w:p>
        </w:tc>
        <w:tc>
          <w:tcPr>
            <w:tcW w:w="8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8</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p>
            <w:pPr>
              <w:jc w:val="center"/>
              <w:rPr>
                <w:rFonts w:hint="eastAsia" w:ascii="宋体" w:hAnsi="宋体" w:eastAsia="宋体" w:cs="宋体"/>
                <w:sz w:val="21"/>
                <w:szCs w:val="21"/>
              </w:rPr>
            </w:pPr>
          </w:p>
          <w:p>
            <w:pPr>
              <w:jc w:val="center"/>
              <w:rPr>
                <w:rFonts w:hint="eastAsia" w:ascii="宋体" w:hAnsi="宋体" w:eastAsia="宋体" w:cs="宋体"/>
                <w:sz w:val="21"/>
                <w:szCs w:val="21"/>
              </w:rPr>
            </w:pPr>
          </w:p>
          <w:p>
            <w:pPr>
              <w:rPr>
                <w:rFonts w:hint="eastAsia" w:ascii="宋体" w:hAnsi="宋体" w:eastAsia="宋体" w:cs="宋体"/>
                <w:sz w:val="21"/>
                <w:szCs w:val="21"/>
              </w:rPr>
            </w:pPr>
          </w:p>
        </w:tc>
        <w:tc>
          <w:tcPr>
            <w:tcW w:w="992"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企业技术实力</w:t>
            </w:r>
          </w:p>
        </w:tc>
        <w:tc>
          <w:tcPr>
            <w:tcW w:w="5812" w:type="dxa"/>
            <w:noWrap w:val="0"/>
            <w:vAlign w:val="top"/>
          </w:tcPr>
          <w:p>
            <w:pPr>
              <w:numPr>
                <w:ilvl w:val="0"/>
                <w:numId w:val="16"/>
              </w:numPr>
              <w:ind w:left="357" w:hanging="357"/>
              <w:rPr>
                <w:rFonts w:hint="eastAsia" w:ascii="宋体" w:hAnsi="宋体" w:eastAsia="宋体" w:cs="宋体"/>
                <w:sz w:val="21"/>
                <w:szCs w:val="21"/>
              </w:rPr>
            </w:pPr>
            <w:r>
              <w:rPr>
                <w:rFonts w:hint="eastAsia" w:ascii="宋体" w:hAnsi="宋体" w:eastAsia="宋体" w:cs="宋体"/>
                <w:bCs/>
                <w:sz w:val="21"/>
                <w:szCs w:val="21"/>
              </w:rPr>
              <w:t>自主知识产权：</w:t>
            </w:r>
            <w:r>
              <w:rPr>
                <w:rFonts w:hint="eastAsia" w:ascii="宋体" w:hAnsi="宋体" w:eastAsia="宋体" w:cs="宋体"/>
                <w:sz w:val="21"/>
                <w:szCs w:val="21"/>
              </w:rPr>
              <w:t>具有较为完善的医疗产品线，具有“互联网诊疗”、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智慧医疗软件平台</w:t>
            </w:r>
            <w:r>
              <w:rPr>
                <w:rFonts w:hint="eastAsia" w:ascii="宋体" w:hAnsi="宋体" w:eastAsia="宋体" w:cs="宋体"/>
                <w:sz w:val="21"/>
                <w:szCs w:val="21"/>
                <w:lang w:eastAsia="zh-CN"/>
              </w:rPr>
              <w:t>”</w:t>
            </w:r>
            <w:r>
              <w:rPr>
                <w:rFonts w:hint="eastAsia" w:ascii="宋体" w:hAnsi="宋体" w:eastAsia="宋体" w:cs="宋体"/>
                <w:sz w:val="21"/>
                <w:szCs w:val="21"/>
              </w:rPr>
              <w:t>“处方流转”、“用药咨询”、“护理服务”等关键字段的软件著作权证书（投标人必须为原始取得的知识产权，所登记注册的软件名称可与上述名称略有不同，但必须是功能相同的产品）每提供1项加</w:t>
            </w:r>
            <w:r>
              <w:rPr>
                <w:rFonts w:hint="eastAsia" w:ascii="宋体" w:hAnsi="宋体" w:eastAsia="宋体" w:cs="宋体"/>
                <w:sz w:val="21"/>
                <w:szCs w:val="21"/>
                <w:lang w:val="en-US" w:eastAsia="zh-CN"/>
              </w:rPr>
              <w:t>3</w:t>
            </w:r>
            <w:r>
              <w:rPr>
                <w:rFonts w:hint="eastAsia" w:ascii="宋体" w:hAnsi="宋体" w:eastAsia="宋体" w:cs="宋体"/>
                <w:sz w:val="21"/>
                <w:szCs w:val="21"/>
              </w:rPr>
              <w:t>分，最多得</w:t>
            </w:r>
            <w:r>
              <w:rPr>
                <w:rFonts w:hint="eastAsia" w:ascii="宋体" w:hAnsi="宋体" w:eastAsia="宋体" w:cs="宋体"/>
                <w:sz w:val="21"/>
                <w:szCs w:val="21"/>
                <w:lang w:val="en-US" w:eastAsia="zh-CN"/>
              </w:rPr>
              <w:t>12</w:t>
            </w:r>
            <w:r>
              <w:rPr>
                <w:rFonts w:hint="eastAsia" w:ascii="宋体" w:hAnsi="宋体" w:eastAsia="宋体" w:cs="宋体"/>
                <w:sz w:val="21"/>
                <w:szCs w:val="21"/>
              </w:rPr>
              <w:t>分（需提供证书复印件并加盖原厂公章）。</w:t>
            </w:r>
          </w:p>
        </w:tc>
        <w:tc>
          <w:tcPr>
            <w:tcW w:w="8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2</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992"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类似</w:t>
            </w:r>
          </w:p>
          <w:p>
            <w:pPr>
              <w:jc w:val="center"/>
              <w:rPr>
                <w:rFonts w:hint="eastAsia" w:ascii="宋体" w:hAnsi="宋体" w:eastAsia="宋体" w:cs="宋体"/>
                <w:b/>
                <w:bCs/>
                <w:sz w:val="21"/>
                <w:szCs w:val="21"/>
              </w:rPr>
            </w:pPr>
            <w:r>
              <w:rPr>
                <w:rFonts w:hint="eastAsia" w:ascii="宋体" w:hAnsi="宋体" w:eastAsia="宋体" w:cs="宋体"/>
                <w:b/>
                <w:bCs/>
                <w:sz w:val="21"/>
                <w:szCs w:val="21"/>
              </w:rPr>
              <w:t>业绩</w:t>
            </w:r>
          </w:p>
        </w:tc>
        <w:tc>
          <w:tcPr>
            <w:tcW w:w="5812" w:type="dxa"/>
            <w:noWrap w:val="0"/>
            <w:vAlign w:val="top"/>
          </w:tcPr>
          <w:p>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投标人近</w:t>
            </w:r>
            <w:r>
              <w:rPr>
                <w:rFonts w:hint="eastAsia" w:ascii="宋体" w:hAnsi="宋体" w:eastAsia="宋体" w:cs="宋体"/>
                <w:sz w:val="21"/>
                <w:szCs w:val="21"/>
                <w:lang w:val="en-US" w:eastAsia="zh-CN"/>
              </w:rPr>
              <w:t>三</w:t>
            </w:r>
            <w:r>
              <w:rPr>
                <w:rFonts w:hint="eastAsia" w:ascii="宋体" w:hAnsi="宋体" w:eastAsia="宋体" w:cs="宋体"/>
                <w:sz w:val="21"/>
                <w:szCs w:val="21"/>
              </w:rPr>
              <w:t>年在全国内</w:t>
            </w:r>
            <w:r>
              <w:rPr>
                <w:rFonts w:hint="eastAsia" w:ascii="宋体" w:hAnsi="宋体" w:cs="宋体"/>
                <w:sz w:val="21"/>
                <w:szCs w:val="21"/>
                <w:lang w:val="en-US" w:eastAsia="zh-CN"/>
              </w:rPr>
              <w:t>有</w:t>
            </w:r>
            <w:r>
              <w:rPr>
                <w:rFonts w:hint="eastAsia" w:ascii="宋体" w:hAnsi="宋体" w:eastAsia="宋体" w:cs="宋体"/>
                <w:sz w:val="21"/>
                <w:szCs w:val="21"/>
              </w:rPr>
              <w:t>互联网医院合作案例，且</w:t>
            </w:r>
            <w:r>
              <w:rPr>
                <w:rFonts w:hint="eastAsia" w:ascii="宋体" w:hAnsi="宋体" w:cs="宋体"/>
                <w:sz w:val="21"/>
                <w:szCs w:val="21"/>
                <w:lang w:val="en-US" w:eastAsia="zh-CN"/>
              </w:rPr>
              <w:t>已验收或</w:t>
            </w:r>
            <w:r>
              <w:rPr>
                <w:rFonts w:hint="eastAsia" w:ascii="宋体" w:hAnsi="宋体" w:eastAsia="宋体" w:cs="宋体"/>
                <w:sz w:val="21"/>
                <w:szCs w:val="21"/>
              </w:rPr>
              <w:t>成功为医院取得互联网医院牌照或对接完省级监管平台，每家得</w:t>
            </w:r>
            <w:r>
              <w:rPr>
                <w:rFonts w:hint="eastAsia" w:ascii="宋体" w:hAnsi="宋体" w:eastAsia="宋体" w:cs="宋体"/>
                <w:sz w:val="21"/>
                <w:szCs w:val="21"/>
                <w:lang w:eastAsia="zh-CN"/>
              </w:rPr>
              <w:t>5</w:t>
            </w:r>
            <w:r>
              <w:rPr>
                <w:rFonts w:hint="eastAsia" w:ascii="宋体" w:hAnsi="宋体" w:eastAsia="宋体" w:cs="宋体"/>
                <w:sz w:val="21"/>
                <w:szCs w:val="21"/>
              </w:rPr>
              <w:t>分，少于</w:t>
            </w:r>
            <w:r>
              <w:rPr>
                <w:rFonts w:hint="eastAsia" w:ascii="宋体" w:hAnsi="宋体" w:eastAsia="宋体" w:cs="宋体"/>
                <w:sz w:val="21"/>
                <w:szCs w:val="21"/>
                <w:lang w:eastAsia="zh-CN"/>
              </w:rPr>
              <w:t>1</w:t>
            </w:r>
            <w:r>
              <w:rPr>
                <w:rFonts w:hint="eastAsia" w:ascii="宋体" w:hAnsi="宋体" w:eastAsia="宋体" w:cs="宋体"/>
                <w:sz w:val="21"/>
                <w:szCs w:val="21"/>
              </w:rPr>
              <w:t>家不得分</w:t>
            </w:r>
            <w:r>
              <w:rPr>
                <w:rFonts w:hint="eastAsia" w:ascii="宋体" w:hAnsi="宋体" w:eastAsia="宋体" w:cs="宋体"/>
                <w:sz w:val="21"/>
                <w:szCs w:val="21"/>
                <w:lang w:eastAsia="zh-CN"/>
              </w:rPr>
              <w:t>。</w:t>
            </w:r>
          </w:p>
        </w:tc>
        <w:tc>
          <w:tcPr>
            <w:tcW w:w="8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038" w:type="dxa"/>
            <w:noWrap w:val="0"/>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992" w:type="dxa"/>
            <w:noWrap w:val="0"/>
            <w:vAlign w:val="center"/>
          </w:tcPr>
          <w:p>
            <w:pPr>
              <w:jc w:val="center"/>
              <w:rPr>
                <w:rFonts w:hint="eastAsia" w:ascii="宋体" w:hAnsi="宋体" w:cs="宋体"/>
                <w:b/>
                <w:bCs/>
                <w:sz w:val="21"/>
                <w:szCs w:val="21"/>
                <w:lang w:val="en-US" w:eastAsia="zh-CN"/>
              </w:rPr>
            </w:pPr>
            <w:r>
              <w:rPr>
                <w:rFonts w:hint="eastAsia" w:ascii="宋体" w:hAnsi="宋体" w:cs="宋体"/>
                <w:b/>
                <w:bCs/>
                <w:sz w:val="21"/>
                <w:szCs w:val="21"/>
                <w:lang w:val="en-US" w:eastAsia="zh-CN"/>
              </w:rPr>
              <w:t>产品</w:t>
            </w:r>
          </w:p>
          <w:p>
            <w:pPr>
              <w:jc w:val="center"/>
              <w:rPr>
                <w:rFonts w:hint="eastAsia" w:ascii="宋体" w:hAnsi="宋体" w:eastAsia="宋体" w:cs="宋体"/>
                <w:b/>
                <w:bCs/>
                <w:sz w:val="21"/>
                <w:szCs w:val="21"/>
              </w:rPr>
            </w:pPr>
            <w:r>
              <w:rPr>
                <w:rFonts w:hint="eastAsia" w:ascii="宋体" w:hAnsi="宋体" w:eastAsia="宋体" w:cs="宋体"/>
                <w:b/>
                <w:bCs/>
                <w:sz w:val="21"/>
                <w:szCs w:val="21"/>
              </w:rPr>
              <w:t>技术</w:t>
            </w:r>
          </w:p>
          <w:p>
            <w:pPr>
              <w:jc w:val="center"/>
              <w:rPr>
                <w:rFonts w:hint="eastAsia" w:ascii="宋体" w:hAnsi="宋体" w:eastAsia="宋体" w:cs="宋体"/>
                <w:b/>
                <w:bCs/>
                <w:sz w:val="21"/>
                <w:szCs w:val="21"/>
              </w:rPr>
            </w:pPr>
            <w:r>
              <w:rPr>
                <w:rFonts w:hint="eastAsia" w:ascii="宋体" w:hAnsi="宋体" w:eastAsia="宋体" w:cs="宋体"/>
                <w:b/>
                <w:bCs/>
                <w:sz w:val="21"/>
                <w:szCs w:val="21"/>
              </w:rPr>
              <w:t>方案</w:t>
            </w:r>
          </w:p>
        </w:tc>
        <w:tc>
          <w:tcPr>
            <w:tcW w:w="5812" w:type="dxa"/>
            <w:noWrap w:val="0"/>
            <w:vAlign w:val="top"/>
          </w:tcPr>
          <w:p>
            <w:pPr>
              <w:pStyle w:val="20"/>
              <w:spacing w:after="0" w:line="360" w:lineRule="auto"/>
              <w:rPr>
                <w:rFonts w:hint="eastAsia" w:ascii="宋体" w:hAnsi="宋体" w:eastAsia="宋体" w:cs="宋体"/>
                <w:kern w:val="2"/>
                <w:sz w:val="21"/>
                <w:szCs w:val="21"/>
                <w:lang w:bidi="en-US"/>
              </w:rPr>
            </w:pPr>
            <w:r>
              <w:rPr>
                <w:rFonts w:hint="eastAsia" w:ascii="宋体" w:hAnsi="宋体" w:eastAsia="宋体" w:cs="宋体"/>
                <w:kern w:val="2"/>
                <w:sz w:val="21"/>
                <w:szCs w:val="21"/>
                <w:lang w:bidi="en-US"/>
              </w:rPr>
              <w:t>1、根据投标人技术方案的完整性、可行性、安全性、拓展性等进行综合评分，0-</w:t>
            </w:r>
            <w:r>
              <w:rPr>
                <w:rFonts w:hint="eastAsia" w:cs="宋体"/>
                <w:kern w:val="2"/>
                <w:sz w:val="21"/>
                <w:szCs w:val="21"/>
                <w:lang w:val="en-US" w:eastAsia="zh-CN" w:bidi="en-US"/>
              </w:rPr>
              <w:t>10</w:t>
            </w:r>
            <w:r>
              <w:rPr>
                <w:rFonts w:hint="eastAsia" w:ascii="宋体" w:hAnsi="宋体" w:eastAsia="宋体" w:cs="宋体"/>
                <w:kern w:val="2"/>
                <w:sz w:val="21"/>
                <w:szCs w:val="21"/>
                <w:lang w:bidi="en-US"/>
              </w:rPr>
              <w:t>分，最高得</w:t>
            </w:r>
            <w:r>
              <w:rPr>
                <w:rFonts w:hint="eastAsia" w:cs="宋体"/>
                <w:kern w:val="2"/>
                <w:sz w:val="21"/>
                <w:szCs w:val="21"/>
                <w:lang w:val="en-US" w:eastAsia="zh-CN" w:bidi="en-US"/>
              </w:rPr>
              <w:t>10</w:t>
            </w:r>
            <w:r>
              <w:rPr>
                <w:rFonts w:hint="eastAsia" w:ascii="宋体" w:hAnsi="宋体" w:eastAsia="宋体" w:cs="宋体"/>
                <w:kern w:val="2"/>
                <w:sz w:val="21"/>
                <w:szCs w:val="21"/>
                <w:lang w:bidi="en-US"/>
              </w:rPr>
              <w:t>分；</w:t>
            </w:r>
          </w:p>
          <w:p>
            <w:pPr>
              <w:pStyle w:val="20"/>
              <w:spacing w:after="0" w:line="360" w:lineRule="auto"/>
              <w:rPr>
                <w:rFonts w:hint="eastAsia" w:ascii="宋体" w:hAnsi="宋体" w:eastAsia="宋体" w:cs="宋体"/>
                <w:kern w:val="2"/>
                <w:sz w:val="21"/>
                <w:szCs w:val="21"/>
                <w:lang w:eastAsia="zh-CN" w:bidi="en-US"/>
              </w:rPr>
            </w:pPr>
            <w:r>
              <w:rPr>
                <w:rFonts w:hint="eastAsia" w:ascii="宋体" w:hAnsi="宋体" w:eastAsia="宋体" w:cs="宋体"/>
                <w:sz w:val="21"/>
                <w:szCs w:val="21"/>
                <w:lang w:bidi="en-US"/>
              </w:rPr>
              <w:t>2、根据投标人组织实施方案的科学性、合理性、规范性和可操作性（包括但不限于项目实施计划、实施组织与管理、实施计划</w:t>
            </w:r>
            <w:r>
              <w:rPr>
                <w:rFonts w:hint="eastAsia" w:ascii="宋体" w:hAnsi="宋体" w:eastAsia="宋体" w:cs="宋体"/>
                <w:kern w:val="2"/>
                <w:sz w:val="21"/>
                <w:szCs w:val="21"/>
                <w:lang w:bidi="en-US"/>
              </w:rPr>
              <w:t>等内容）进行综合评分，0-</w:t>
            </w:r>
            <w:r>
              <w:rPr>
                <w:rFonts w:hint="eastAsia" w:cs="宋体"/>
                <w:kern w:val="2"/>
                <w:sz w:val="21"/>
                <w:szCs w:val="21"/>
                <w:lang w:val="en-US" w:eastAsia="zh-CN" w:bidi="en-US"/>
              </w:rPr>
              <w:t>10</w:t>
            </w:r>
            <w:r>
              <w:rPr>
                <w:rFonts w:hint="eastAsia" w:ascii="宋体" w:hAnsi="宋体" w:eastAsia="宋体" w:cs="宋体"/>
                <w:kern w:val="2"/>
                <w:sz w:val="21"/>
                <w:szCs w:val="21"/>
                <w:lang w:bidi="en-US"/>
              </w:rPr>
              <w:t xml:space="preserve">分，最高得 </w:t>
            </w:r>
            <w:r>
              <w:rPr>
                <w:rFonts w:hint="eastAsia" w:cs="宋体"/>
                <w:kern w:val="2"/>
                <w:sz w:val="21"/>
                <w:szCs w:val="21"/>
                <w:lang w:val="en-US" w:eastAsia="zh-CN" w:bidi="en-US"/>
              </w:rPr>
              <w:t>10</w:t>
            </w:r>
            <w:r>
              <w:rPr>
                <w:rFonts w:hint="eastAsia" w:ascii="宋体" w:hAnsi="宋体" w:eastAsia="宋体" w:cs="宋体"/>
                <w:kern w:val="2"/>
                <w:sz w:val="21"/>
                <w:szCs w:val="21"/>
                <w:lang w:bidi="en-US"/>
              </w:rPr>
              <w:t>分</w:t>
            </w:r>
            <w:r>
              <w:rPr>
                <w:rFonts w:hint="eastAsia" w:cs="宋体"/>
                <w:kern w:val="2"/>
                <w:sz w:val="21"/>
                <w:szCs w:val="21"/>
                <w:lang w:eastAsia="zh-CN" w:bidi="en-US"/>
              </w:rPr>
              <w:t>。</w:t>
            </w:r>
          </w:p>
        </w:tc>
        <w:tc>
          <w:tcPr>
            <w:tcW w:w="838" w:type="dxa"/>
            <w:noWrap w:val="0"/>
            <w:vAlign w:val="center"/>
          </w:tcPr>
          <w:p>
            <w:pPr>
              <w:jc w:val="center"/>
              <w:rPr>
                <w:rFonts w:hint="eastAsia" w:ascii="宋体" w:hAnsi="宋体" w:eastAsia="宋体" w:cs="宋体"/>
                <w:sz w:val="21"/>
                <w:szCs w:val="21"/>
              </w:rPr>
            </w:pPr>
            <w:r>
              <w:rPr>
                <w:rFonts w:hint="eastAsia" w:ascii="宋体" w:hAnsi="宋体" w:cs="宋体"/>
                <w:sz w:val="21"/>
                <w:szCs w:val="21"/>
                <w:lang w:val="en-US" w:eastAsia="zh-CN"/>
              </w:rPr>
              <w:t>20</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38" w:type="dxa"/>
            <w:noWrap w:val="0"/>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992"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售后</w:t>
            </w:r>
          </w:p>
          <w:p>
            <w:pPr>
              <w:jc w:val="center"/>
              <w:rPr>
                <w:rFonts w:hint="eastAsia" w:ascii="宋体" w:hAnsi="宋体" w:eastAsia="宋体" w:cs="宋体"/>
                <w:b/>
                <w:bCs/>
                <w:sz w:val="21"/>
                <w:szCs w:val="21"/>
              </w:rPr>
            </w:pPr>
            <w:r>
              <w:rPr>
                <w:rFonts w:hint="eastAsia" w:ascii="宋体" w:hAnsi="宋体" w:eastAsia="宋体" w:cs="宋体"/>
                <w:b/>
                <w:bCs/>
                <w:sz w:val="21"/>
                <w:szCs w:val="21"/>
              </w:rPr>
              <w:t>服务</w:t>
            </w:r>
          </w:p>
        </w:tc>
        <w:tc>
          <w:tcPr>
            <w:tcW w:w="5812" w:type="dxa"/>
            <w:noWrap w:val="0"/>
            <w:vAlign w:val="top"/>
          </w:tcPr>
          <w:p>
            <w:pPr>
              <w:numPr>
                <w:ilvl w:val="0"/>
                <w:numId w:val="17"/>
              </w:numPr>
              <w:rPr>
                <w:rFonts w:hint="eastAsia" w:ascii="宋体" w:hAnsi="宋体" w:eastAsia="宋体" w:cs="宋体"/>
                <w:sz w:val="21"/>
                <w:szCs w:val="21"/>
                <w:lang w:bidi="en-US"/>
              </w:rPr>
            </w:pPr>
            <w:r>
              <w:rPr>
                <w:rFonts w:hint="eastAsia" w:ascii="宋体" w:hAnsi="宋体" w:eastAsia="宋体" w:cs="宋体"/>
                <w:sz w:val="21"/>
                <w:szCs w:val="21"/>
              </w:rPr>
              <w:t>根据</w:t>
            </w:r>
            <w:r>
              <w:rPr>
                <w:rFonts w:hint="eastAsia" w:ascii="宋体" w:hAnsi="宋体" w:eastAsia="宋体" w:cs="宋体"/>
                <w:sz w:val="21"/>
                <w:szCs w:val="21"/>
                <w:lang w:bidi="en-US"/>
              </w:rPr>
              <w:t>投标人提供的售后服务方案的可行性和完整性综合评分，</w:t>
            </w:r>
            <w:r>
              <w:rPr>
                <w:rFonts w:hint="eastAsia" w:ascii="宋体" w:hAnsi="宋体" w:eastAsia="宋体" w:cs="宋体"/>
                <w:sz w:val="21"/>
                <w:szCs w:val="21"/>
              </w:rPr>
              <w:t>最高得</w:t>
            </w:r>
            <w:r>
              <w:rPr>
                <w:rFonts w:hint="eastAsia" w:ascii="宋体" w:hAnsi="宋体" w:eastAsia="宋体" w:cs="宋体"/>
                <w:sz w:val="21"/>
                <w:szCs w:val="21"/>
                <w:lang w:eastAsia="zh-CN"/>
              </w:rPr>
              <w:t>5</w:t>
            </w:r>
            <w:r>
              <w:rPr>
                <w:rFonts w:hint="eastAsia" w:ascii="宋体" w:hAnsi="宋体" w:eastAsia="宋体" w:cs="宋体"/>
                <w:sz w:val="21"/>
                <w:szCs w:val="21"/>
              </w:rPr>
              <w:t>分</w:t>
            </w:r>
            <w:r>
              <w:rPr>
                <w:rFonts w:hint="eastAsia" w:ascii="宋体" w:hAnsi="宋体" w:cs="宋体"/>
                <w:sz w:val="21"/>
                <w:szCs w:val="21"/>
                <w:lang w:eastAsia="zh-CN"/>
              </w:rPr>
              <w:t>。</w:t>
            </w:r>
          </w:p>
        </w:tc>
        <w:tc>
          <w:tcPr>
            <w:tcW w:w="8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680" w:type="dxa"/>
            <w:gridSpan w:val="4"/>
            <w:noWrap w:val="0"/>
            <w:vAlign w:val="center"/>
          </w:tcPr>
          <w:p>
            <w:pPr>
              <w:rPr>
                <w:rFonts w:hint="eastAsia" w:ascii="宋体" w:hAnsi="宋体" w:eastAsia="宋体" w:cs="宋体"/>
                <w:sz w:val="21"/>
                <w:szCs w:val="21"/>
              </w:rPr>
            </w:pPr>
            <w:r>
              <w:rPr>
                <w:rFonts w:hint="eastAsia" w:ascii="宋体" w:hAnsi="宋体" w:eastAsia="宋体" w:cs="宋体"/>
                <w:b/>
                <w:sz w:val="21"/>
                <w:szCs w:val="21"/>
              </w:rPr>
              <w:t>（2）价格部分（30分）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30" w:type="dxa"/>
            <w:gridSpan w:val="2"/>
            <w:noWrap w:val="0"/>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价格（30分）</w:t>
            </w:r>
          </w:p>
        </w:tc>
        <w:tc>
          <w:tcPr>
            <w:tcW w:w="5812" w:type="dxa"/>
            <w:noWrap w:val="0"/>
            <w:vAlign w:val="top"/>
          </w:tcPr>
          <w:p>
            <w:pPr>
              <w:rPr>
                <w:rFonts w:hint="eastAsia" w:ascii="宋体" w:hAnsi="宋体" w:eastAsia="宋体" w:cs="宋体"/>
                <w:kern w:val="0"/>
                <w:sz w:val="21"/>
                <w:szCs w:val="21"/>
              </w:rPr>
            </w:pPr>
            <w:r>
              <w:rPr>
                <w:rFonts w:hint="eastAsia" w:ascii="宋体" w:hAnsi="宋体" w:eastAsia="宋体" w:cs="宋体"/>
                <w:kern w:val="0"/>
                <w:sz w:val="21"/>
                <w:szCs w:val="21"/>
              </w:rPr>
              <w:t>取所有有效投标报价算术平均值为评标基准值（Q），投标人的有效投标报价为q，投标人价格得分为P。</w:t>
            </w:r>
          </w:p>
          <w:p>
            <w:pPr>
              <w:rPr>
                <w:rFonts w:hint="eastAsia" w:ascii="宋体" w:hAnsi="宋体" w:eastAsia="宋体" w:cs="宋体"/>
                <w:kern w:val="0"/>
                <w:sz w:val="21"/>
                <w:szCs w:val="21"/>
              </w:rPr>
            </w:pPr>
            <w:r>
              <w:rPr>
                <w:rFonts w:hint="eastAsia" w:ascii="宋体" w:hAnsi="宋体" w:eastAsia="宋体" w:cs="宋体"/>
                <w:kern w:val="0"/>
                <w:sz w:val="21"/>
                <w:szCs w:val="21"/>
              </w:rPr>
              <w:t>有效投标报价等于评标基准值得满分30分。投标人有效投标报价每低于评标基准值1％扣0.2分，每高于评标基准值1％扣0.3分，扣完为止。偏差不足1％的，按照插入法计算得分，得分精确到小数点后二位，第三位四舍五入。计算公式如下：</w:t>
            </w:r>
          </w:p>
          <w:p>
            <w:pPr>
              <w:rPr>
                <w:rFonts w:hint="eastAsia" w:ascii="宋体" w:hAnsi="宋体" w:eastAsia="宋体" w:cs="宋体"/>
                <w:kern w:val="0"/>
                <w:sz w:val="21"/>
                <w:szCs w:val="21"/>
              </w:rPr>
            </w:pPr>
            <w:r>
              <w:rPr>
                <w:rFonts w:hint="eastAsia" w:ascii="宋体" w:hAnsi="宋体" w:eastAsia="宋体" w:cs="宋体"/>
                <w:kern w:val="0"/>
                <w:sz w:val="21"/>
                <w:szCs w:val="21"/>
              </w:rPr>
              <w:t>q&gt;Q 时 P=30-（q-Q）/Q*100*0.3</w:t>
            </w:r>
          </w:p>
          <w:p>
            <w:pPr>
              <w:rPr>
                <w:rFonts w:hint="eastAsia" w:ascii="宋体" w:hAnsi="宋体" w:eastAsia="宋体" w:cs="宋体"/>
                <w:b/>
                <w:kern w:val="0"/>
                <w:sz w:val="21"/>
                <w:szCs w:val="21"/>
              </w:rPr>
            </w:pPr>
            <w:r>
              <w:rPr>
                <w:rFonts w:hint="eastAsia" w:ascii="宋体" w:hAnsi="宋体" w:eastAsia="宋体" w:cs="宋体"/>
                <w:kern w:val="0"/>
                <w:sz w:val="21"/>
                <w:szCs w:val="21"/>
              </w:rPr>
              <w:t>q&lt;Q 时 P=30-（Q-q）/Q*100*0.2</w:t>
            </w:r>
          </w:p>
        </w:tc>
        <w:tc>
          <w:tcPr>
            <w:tcW w:w="838"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30分</w:t>
            </w:r>
          </w:p>
        </w:tc>
      </w:tr>
    </w:tbl>
    <w:p/>
    <w:p>
      <w:pPr>
        <w:spacing w:line="360" w:lineRule="auto"/>
        <w:ind w:left="420" w:leftChars="200"/>
        <w:rPr>
          <w:rFonts w:asciiTheme="minorEastAsia" w:hAnsiTheme="minorEastAsia"/>
          <w:sz w:val="24"/>
          <w:szCs w:val="24"/>
        </w:rPr>
      </w:pPr>
      <w:r>
        <w:rPr>
          <w:rFonts w:hint="eastAsia" w:asciiTheme="minorEastAsia" w:hAnsiTheme="minorEastAsia"/>
          <w:sz w:val="24"/>
          <w:szCs w:val="24"/>
        </w:rPr>
        <w:t>注：1、每项得分均不能超过该项最高分值，得分精确至小数点后两位。</w:t>
      </w:r>
    </w:p>
    <w:p>
      <w:pPr>
        <w:spacing w:line="360" w:lineRule="auto"/>
        <w:ind w:left="420" w:leftChars="200" w:firstLine="480" w:firstLineChars="200"/>
        <w:rPr>
          <w:rFonts w:asciiTheme="minorEastAsia" w:hAnsiTheme="minorEastAsia"/>
          <w:sz w:val="24"/>
          <w:szCs w:val="24"/>
        </w:rPr>
      </w:pPr>
      <w:r>
        <w:rPr>
          <w:rFonts w:hint="eastAsia" w:asciiTheme="minorEastAsia" w:hAnsiTheme="minorEastAsia"/>
          <w:sz w:val="24"/>
          <w:szCs w:val="24"/>
        </w:rPr>
        <w:t>2、缺项或不合格，则该项为0分。</w:t>
      </w:r>
    </w:p>
    <w:p>
      <w:pPr>
        <w:spacing w:line="360" w:lineRule="auto"/>
        <w:ind w:left="420" w:leftChars="200" w:firstLine="480" w:firstLineChars="200"/>
        <w:rPr>
          <w:rFonts w:asciiTheme="minorEastAsia" w:hAnsiTheme="minorEastAsia"/>
          <w:b/>
          <w:sz w:val="24"/>
          <w:szCs w:val="24"/>
          <w:u w:val="single"/>
        </w:rPr>
      </w:pPr>
      <w:r>
        <w:rPr>
          <w:rFonts w:hint="eastAsia" w:asciiTheme="minorEastAsia" w:hAnsiTheme="minorEastAsia"/>
          <w:sz w:val="24"/>
          <w:szCs w:val="24"/>
        </w:rPr>
        <w:t>3、重要参数不得超过技术参数总数的10%。</w:t>
      </w:r>
    </w:p>
    <w:p>
      <w:pPr>
        <w:pStyle w:val="12"/>
        <w:keepNext w:val="0"/>
        <w:keepLines w:val="0"/>
        <w:widowControl/>
        <w:numPr>
          <w:ilvl w:val="0"/>
          <w:numId w:val="0"/>
        </w:numPr>
        <w:suppressLineNumbers w:val="0"/>
        <w:spacing w:before="0" w:beforeAutospacing="0" w:after="0" w:afterAutospacing="0"/>
        <w:ind w:leftChars="0" w:right="0" w:rightChars="0"/>
        <w:outlineLvl w:val="2"/>
        <w:rPr>
          <w:rFonts w:hint="eastAsia" w:ascii="方正仿宋_GBK" w:hAnsi="方正仿宋_GBK" w:eastAsia="方正仿宋_GBK" w:cs="方正仿宋_GBK"/>
          <w:sz w:val="32"/>
          <w:szCs w:val="32"/>
          <w:lang w:val="en-US" w:eastAsia="zh-CN"/>
        </w:rPr>
      </w:pPr>
    </w:p>
    <w:p>
      <w:pPr>
        <w:pStyle w:val="12"/>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spacing w:line="360" w:lineRule="auto"/>
        <w:ind w:firstLine="1928" w:firstLineChars="800"/>
        <w:outlineLvl w:val="0"/>
        <w:rPr>
          <w:rFonts w:hint="eastAsia" w:ascii="方正黑体_GBK" w:hAnsi="方正黑体_GBK" w:eastAsia="方正黑体_GBK" w:cs="方正黑体_GBK"/>
          <w:b w:val="0"/>
          <w:bCs/>
          <w:sz w:val="32"/>
          <w:szCs w:val="32"/>
        </w:rPr>
      </w:pPr>
      <w:r>
        <w:rPr>
          <w:rFonts w:hint="eastAsia" w:ascii="仿宋" w:hAnsi="仿宋" w:eastAsia="仿宋" w:cs="仿宋"/>
          <w:b/>
          <w:sz w:val="24"/>
        </w:rPr>
        <w:t xml:space="preserve"> </w:t>
      </w:r>
      <w:r>
        <w:rPr>
          <w:rFonts w:hint="eastAsia" w:ascii="方正黑体_GBK" w:hAnsi="方正黑体_GBK" w:eastAsia="方正黑体_GBK" w:cs="方正黑体_GBK"/>
          <w:b w:val="0"/>
          <w:bCs/>
          <w:sz w:val="32"/>
          <w:szCs w:val="32"/>
        </w:rPr>
        <w:t xml:space="preserve">第三部分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7"/>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一、说  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 xml:space="preserve"> “货物”是指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280" w:firstLineChars="1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18"/>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7"/>
        <w:adjustRightInd w:val="0"/>
        <w:snapToGrid w:val="0"/>
        <w:spacing w:line="360" w:lineRule="auto"/>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7"/>
        <w:adjustRightInd w:val="0"/>
        <w:snapToGrid w:val="0"/>
        <w:spacing w:line="360" w:lineRule="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（一）开标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w:t>
      </w:r>
      <w:bookmarkStart w:id="0" w:name="_GoBack"/>
      <w:bookmarkEnd w:id="0"/>
      <w:r>
        <w:rPr>
          <w:rFonts w:hint="eastAsia" w:ascii="方正仿宋_GBK" w:hAnsi="方正仿宋_GBK" w:eastAsia="方正仿宋_GBK" w:cs="方正仿宋_GBK"/>
          <w:b w:val="0"/>
          <w:bCs w:val="0"/>
          <w:sz w:val="28"/>
          <w:szCs w:val="28"/>
          <w:lang w:eastAsia="zh-CN"/>
        </w:rPr>
        <w:t>并加盖公章，授权委托书必须双方签名，未签名无效。如缺少上述资料，按投标无效处理。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（二）评审小组的组成</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（三）定 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（1）提供虚假材料谋取中标；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（2）采取不正当手段诋毁、排挤其他供应商；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（3）与采购人、其他供应商或者招标工作人员恶意串通；</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（4）向采购人、招标工作人员行贿或者提供其他不正当利益；</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（5）拒绝有关部门监督检查或者提供虚假情况；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（6）向评审小组成员行贿或者提供其他不正当利益；</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（7）中标或者成交后无正当理由拒不与采购人签订采购合同；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（8）未按照采购文件确定的事项签订采购合同；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（9）将采购合同转包；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（10）提供假冒伪劣产品；</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（11）擅自变更、中止或者终止采购合同；</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（12）有法律、法规规定的其他损害招标采购机构利益和社会公共利益情形的。</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六</w:t>
      </w:r>
      <w:r>
        <w:rPr>
          <w:rFonts w:hint="default" w:ascii="方正黑体_GBK" w:hAnsi="方正黑体_GBK" w:eastAsia="方正黑体_GBK" w:cs="方正黑体_GBK"/>
          <w:b w:val="0"/>
          <w:bCs w:val="0"/>
          <w:snapToGrid w:val="0"/>
          <w:kern w:val="0"/>
          <w:sz w:val="32"/>
          <w:szCs w:val="32"/>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（五）投标文件未经投标单位盖章和单位负责人签字。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0"/>
        </w:numPr>
        <w:jc w:val="both"/>
        <w:rPr>
          <w:rFonts w:hint="default" w:ascii="方正黑体_GBK" w:hAnsi="方正黑体_GBK" w:eastAsia="方正黑体_GBK" w:cs="方正黑体_GBK"/>
          <w:b w:val="0"/>
          <w:bCs w:val="0"/>
          <w:snapToGrid w:val="0"/>
          <w:kern w:val="0"/>
          <w:sz w:val="32"/>
          <w:szCs w:val="32"/>
          <w:lang w:val="en-US" w:eastAsia="zh-CN" w:bidi="ar-SA"/>
        </w:rPr>
      </w:pPr>
      <w:r>
        <w:rPr>
          <w:rFonts w:hint="eastAsia" w:ascii="方正黑体_GBK" w:hAnsi="方正黑体_GBK" w:eastAsia="方正黑体_GBK" w:cs="方正黑体_GBK"/>
          <w:b w:val="0"/>
          <w:bCs w:val="0"/>
          <w:snapToGrid w:val="0"/>
          <w:kern w:val="0"/>
          <w:sz w:val="32"/>
          <w:szCs w:val="32"/>
          <w:lang w:val="en-US" w:eastAsia="zh-CN" w:bidi="ar-SA"/>
        </w:rPr>
        <w:t>七</w:t>
      </w:r>
      <w:r>
        <w:rPr>
          <w:rFonts w:hint="default" w:ascii="方正黑体_GBK" w:hAnsi="方正黑体_GBK" w:eastAsia="方正黑体_GBK" w:cs="方正黑体_GBK"/>
          <w:b w:val="0"/>
          <w:bCs w:val="0"/>
          <w:snapToGrid w:val="0"/>
          <w:kern w:val="0"/>
          <w:sz w:val="32"/>
          <w:szCs w:val="32"/>
          <w:lang w:val="en-US" w:eastAsia="zh-CN" w:bidi="ar-SA"/>
        </w:rPr>
        <w:t>、公 示</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r>
        <w:rPr>
          <w:rFonts w:hint="eastAsia" w:ascii="方正黑体_GBK" w:hAnsi="方正黑体_GBK" w:eastAsia="方正黑体_GBK" w:cs="方正黑体_GBK"/>
          <w:b w:val="0"/>
          <w:bCs w:val="0"/>
          <w:snapToGrid w:val="0"/>
          <w:kern w:val="0"/>
          <w:sz w:val="32"/>
          <w:szCs w:val="32"/>
          <w:lang w:val="en-US" w:eastAsia="zh-CN" w:bidi="ar-SA"/>
        </w:rPr>
        <w:t>八</w:t>
      </w:r>
      <w:r>
        <w:rPr>
          <w:rFonts w:hint="default" w:ascii="方正黑体_GBK" w:hAnsi="方正黑体_GBK" w:eastAsia="方正黑体_GBK" w:cs="方正黑体_GBK"/>
          <w:b w:val="0"/>
          <w:bCs w:val="0"/>
          <w:snapToGrid w:val="0"/>
          <w:kern w:val="0"/>
          <w:sz w:val="32"/>
          <w:szCs w:val="32"/>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6、未按规定报名的或未在规定截止时间完成投标的，不得质疑，</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 xml:space="preserve">不受理其任何质疑。     </w:t>
      </w:r>
    </w:p>
    <w:p>
      <w:pPr>
        <w:pStyle w:val="12"/>
        <w:keepNext w:val="0"/>
        <w:keepLines w:val="0"/>
        <w:widowControl/>
        <w:suppressLineNumbers w:val="0"/>
        <w:spacing w:before="0" w:beforeAutospacing="0" w:after="0" w:afterAutospacing="0"/>
        <w:ind w:left="0" w:right="0" w:firstLine="0"/>
      </w:pPr>
    </w:p>
    <w:p/>
    <w:p>
      <w:pPr>
        <w:numPr>
          <w:ilvl w:val="0"/>
          <w:numId w:val="0"/>
        </w:numPr>
        <w:jc w:val="both"/>
        <w:rPr>
          <w:rFonts w:hint="default"/>
          <w:lang w:val="en-US" w:eastAsia="zh-CN"/>
        </w:rPr>
      </w:pPr>
    </w:p>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5CED"/>
    <w:multiLevelType w:val="singleLevel"/>
    <w:tmpl w:val="86B25CED"/>
    <w:lvl w:ilvl="0" w:tentative="0">
      <w:start w:val="1"/>
      <w:numFmt w:val="decimal"/>
      <w:lvlText w:val="%1."/>
      <w:lvlJc w:val="left"/>
      <w:pPr>
        <w:tabs>
          <w:tab w:val="left" w:pos="312"/>
        </w:tabs>
      </w:pPr>
    </w:lvl>
  </w:abstractNum>
  <w:abstractNum w:abstractNumId="1">
    <w:nsid w:val="92B2E6FE"/>
    <w:multiLevelType w:val="singleLevel"/>
    <w:tmpl w:val="92B2E6FE"/>
    <w:lvl w:ilvl="0" w:tentative="0">
      <w:start w:val="1"/>
      <w:numFmt w:val="chineseCounting"/>
      <w:suff w:val="nothing"/>
      <w:lvlText w:val="%1、"/>
      <w:lvlJc w:val="left"/>
      <w:rPr>
        <w:rFonts w:hint="eastAsia"/>
      </w:rPr>
    </w:lvl>
  </w:abstractNum>
  <w:abstractNum w:abstractNumId="2">
    <w:nsid w:val="96335185"/>
    <w:multiLevelType w:val="singleLevel"/>
    <w:tmpl w:val="96335185"/>
    <w:lvl w:ilvl="0" w:tentative="0">
      <w:start w:val="1"/>
      <w:numFmt w:val="chineseCounting"/>
      <w:suff w:val="nothing"/>
      <w:lvlText w:val="%1、"/>
      <w:lvlJc w:val="left"/>
      <w:rPr>
        <w:rFonts w:hint="eastAsia"/>
      </w:rPr>
    </w:lvl>
  </w:abstractNum>
  <w:abstractNum w:abstractNumId="3">
    <w:nsid w:val="BCB64DDD"/>
    <w:multiLevelType w:val="singleLevel"/>
    <w:tmpl w:val="BCB64DDD"/>
    <w:lvl w:ilvl="0" w:tentative="0">
      <w:start w:val="1"/>
      <w:numFmt w:val="decimal"/>
      <w:suff w:val="nothing"/>
      <w:lvlText w:val="%1、"/>
      <w:lvlJc w:val="left"/>
    </w:lvl>
  </w:abstractNum>
  <w:abstractNum w:abstractNumId="4">
    <w:nsid w:val="C1C20C69"/>
    <w:multiLevelType w:val="singleLevel"/>
    <w:tmpl w:val="C1C20C69"/>
    <w:lvl w:ilvl="0" w:tentative="0">
      <w:start w:val="5"/>
      <w:numFmt w:val="decimal"/>
      <w:lvlText w:val="%1."/>
      <w:lvlJc w:val="left"/>
      <w:pPr>
        <w:tabs>
          <w:tab w:val="left" w:pos="312"/>
        </w:tabs>
      </w:pPr>
    </w:lvl>
  </w:abstractNum>
  <w:abstractNum w:abstractNumId="5">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6">
    <w:nsid w:val="C89743FA"/>
    <w:multiLevelType w:val="singleLevel"/>
    <w:tmpl w:val="C89743FA"/>
    <w:lvl w:ilvl="0" w:tentative="0">
      <w:start w:val="2"/>
      <w:numFmt w:val="decimal"/>
      <w:suff w:val="nothing"/>
      <w:lvlText w:val="（%1）"/>
      <w:lvlJc w:val="left"/>
      <w:rPr>
        <w:rFonts w:hint="default" w:ascii="方正仿宋_GBK" w:hAnsi="方正仿宋_GBK" w:eastAsia="方正仿宋_GBK" w:cs="方正仿宋_GBK"/>
        <w:sz w:val="32"/>
        <w:szCs w:val="32"/>
      </w:rPr>
    </w:lvl>
  </w:abstractNum>
  <w:abstractNum w:abstractNumId="7">
    <w:nsid w:val="F074A7C5"/>
    <w:multiLevelType w:val="singleLevel"/>
    <w:tmpl w:val="F074A7C5"/>
    <w:lvl w:ilvl="0" w:tentative="0">
      <w:start w:val="2"/>
      <w:numFmt w:val="chineseCounting"/>
      <w:suff w:val="nothing"/>
      <w:lvlText w:val="第%1部分　"/>
      <w:lvlJc w:val="left"/>
      <w:rPr>
        <w:rFonts w:hint="eastAsia"/>
      </w:rPr>
    </w:lvl>
  </w:abstractNum>
  <w:abstractNum w:abstractNumId="8">
    <w:nsid w:val="F613B6E0"/>
    <w:multiLevelType w:val="singleLevel"/>
    <w:tmpl w:val="F613B6E0"/>
    <w:lvl w:ilvl="0" w:tentative="0">
      <w:start w:val="1"/>
      <w:numFmt w:val="bullet"/>
      <w:lvlText w:val=""/>
      <w:lvlJc w:val="left"/>
      <w:pPr>
        <w:ind w:left="420" w:hanging="420"/>
      </w:pPr>
      <w:rPr>
        <w:rFonts w:hint="default" w:ascii="Wingdings" w:hAnsi="Wingdings"/>
      </w:rPr>
    </w:lvl>
  </w:abstractNum>
  <w:abstractNum w:abstractNumId="9">
    <w:nsid w:val="F8896876"/>
    <w:multiLevelType w:val="singleLevel"/>
    <w:tmpl w:val="F8896876"/>
    <w:lvl w:ilvl="0" w:tentative="0">
      <w:start w:val="1"/>
      <w:numFmt w:val="decimal"/>
      <w:suff w:val="nothing"/>
      <w:lvlText w:val="（%1）"/>
      <w:lvlJc w:val="left"/>
    </w:lvl>
  </w:abstractNum>
  <w:abstractNum w:abstractNumId="10">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E57D64"/>
    <w:multiLevelType w:val="singleLevel"/>
    <w:tmpl w:val="0BE57D64"/>
    <w:lvl w:ilvl="0" w:tentative="0">
      <w:start w:val="1"/>
      <w:numFmt w:val="chineseCounting"/>
      <w:suff w:val="nothing"/>
      <w:lvlText w:val="（%1）"/>
      <w:lvlJc w:val="left"/>
      <w:rPr>
        <w:rFonts w:hint="eastAsia"/>
      </w:rPr>
    </w:lvl>
  </w:abstractNum>
  <w:abstractNum w:abstractNumId="12">
    <w:nsid w:val="272975D6"/>
    <w:multiLevelType w:val="singleLevel"/>
    <w:tmpl w:val="272975D6"/>
    <w:lvl w:ilvl="0" w:tentative="0">
      <w:start w:val="4"/>
      <w:numFmt w:val="decimal"/>
      <w:suff w:val="nothing"/>
      <w:lvlText w:val="%1、"/>
      <w:lvlJc w:val="left"/>
    </w:lvl>
  </w:abstractNum>
  <w:abstractNum w:abstractNumId="13">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14">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15">
    <w:nsid w:val="575CABA0"/>
    <w:multiLevelType w:val="singleLevel"/>
    <w:tmpl w:val="575CABA0"/>
    <w:lvl w:ilvl="0" w:tentative="0">
      <w:start w:val="6"/>
      <w:numFmt w:val="decimal"/>
      <w:suff w:val="nothing"/>
      <w:lvlText w:val="%1、"/>
      <w:lvlJc w:val="left"/>
    </w:lvl>
  </w:abstractNum>
  <w:abstractNum w:abstractNumId="16">
    <w:nsid w:val="58894132"/>
    <w:multiLevelType w:val="multilevel"/>
    <w:tmpl w:val="5889413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F3B6425"/>
    <w:multiLevelType w:val="singleLevel"/>
    <w:tmpl w:val="5F3B6425"/>
    <w:lvl w:ilvl="0" w:tentative="0">
      <w:start w:val="1"/>
      <w:numFmt w:val="decimal"/>
      <w:suff w:val="nothing"/>
      <w:lvlText w:val="（%1）"/>
      <w:lvlJc w:val="left"/>
    </w:lvl>
  </w:abstractNum>
  <w:num w:numId="1">
    <w:abstractNumId w:val="13"/>
  </w:num>
  <w:num w:numId="2">
    <w:abstractNumId w:val="14"/>
  </w:num>
  <w:num w:numId="3">
    <w:abstractNumId w:val="5"/>
  </w:num>
  <w:num w:numId="4">
    <w:abstractNumId w:val="7"/>
  </w:num>
  <w:num w:numId="5">
    <w:abstractNumId w:val="1"/>
  </w:num>
  <w:num w:numId="6">
    <w:abstractNumId w:val="0"/>
  </w:num>
  <w:num w:numId="7">
    <w:abstractNumId w:val="2"/>
  </w:num>
  <w:num w:numId="8">
    <w:abstractNumId w:val="11"/>
  </w:num>
  <w:num w:numId="9">
    <w:abstractNumId w:val="8"/>
  </w:num>
  <w:num w:numId="10">
    <w:abstractNumId w:val="6"/>
  </w:num>
  <w:num w:numId="11">
    <w:abstractNumId w:val="12"/>
  </w:num>
  <w:num w:numId="12">
    <w:abstractNumId w:val="17"/>
  </w:num>
  <w:num w:numId="13">
    <w:abstractNumId w:val="4"/>
  </w:num>
  <w:num w:numId="14">
    <w:abstractNumId w:val="9"/>
  </w:num>
  <w:num w:numId="15">
    <w:abstractNumId w:val="10"/>
  </w:num>
  <w:num w:numId="16">
    <w:abstractNumId w:val="16"/>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1FF7293"/>
    <w:rsid w:val="03895B62"/>
    <w:rsid w:val="14047793"/>
    <w:rsid w:val="169C7A38"/>
    <w:rsid w:val="1B5605CB"/>
    <w:rsid w:val="224E5BA4"/>
    <w:rsid w:val="29DF3921"/>
    <w:rsid w:val="2F587767"/>
    <w:rsid w:val="40001339"/>
    <w:rsid w:val="42993772"/>
    <w:rsid w:val="4BC66ACD"/>
    <w:rsid w:val="500B71A4"/>
    <w:rsid w:val="5DA0206F"/>
    <w:rsid w:val="6A6177EF"/>
    <w:rsid w:val="7726779D"/>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Body Text 2"/>
    <w:basedOn w:val="1"/>
    <w:qFormat/>
    <w:uiPriority w:val="0"/>
    <w:pPr>
      <w:jc w:val="left"/>
    </w:pPr>
    <w:rPr>
      <w:rFonts w:ascii="仿宋_GB2312" w:hAnsi="宋体" w:eastAsia="仿宋_GB2312"/>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5">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6">
    <w:name w:val="列出段落1"/>
    <w:basedOn w:val="1"/>
    <w:qFormat/>
    <w:uiPriority w:val="34"/>
    <w:pPr>
      <w:ind w:firstLine="420"/>
    </w:pPr>
    <w:rPr>
      <w:rFonts w:cs="Times New Roman"/>
      <w:szCs w:val="22"/>
    </w:rPr>
  </w:style>
  <w:style w:type="paragraph" w:customStyle="1" w:styleId="17">
    <w:name w:val="_正文段落"/>
    <w:basedOn w:val="1"/>
    <w:qFormat/>
    <w:uiPriority w:val="0"/>
    <w:pPr>
      <w:spacing w:beforeLines="50" w:afterLines="50" w:line="360" w:lineRule="auto"/>
      <w:ind w:firstLine="200" w:firstLineChars="200"/>
    </w:pPr>
    <w:rPr>
      <w:rFonts w:ascii="Times New Roman" w:hAnsi="Times New Roman"/>
      <w:sz w:val="24"/>
      <w:szCs w:val="24"/>
    </w:rPr>
  </w:style>
  <w:style w:type="paragraph" w:customStyle="1" w:styleId="18">
    <w:name w:val="_Style 32"/>
    <w:basedOn w:val="1"/>
    <w:next w:val="19"/>
    <w:qFormat/>
    <w:uiPriority w:val="34"/>
    <w:pPr>
      <w:ind w:firstLine="420" w:firstLineChars="200"/>
    </w:pPr>
    <w:rPr>
      <w:rFonts w:ascii="Times New Roman" w:hAnsi="Times New Roman" w:eastAsia="黑体" w:cs="Times New Roman"/>
      <w:bCs/>
      <w:sz w:val="30"/>
      <w:szCs w:val="30"/>
    </w:rPr>
  </w:style>
  <w:style w:type="paragraph" w:styleId="19">
    <w:name w:val="List Paragraph"/>
    <w:basedOn w:val="1"/>
    <w:qFormat/>
    <w:uiPriority w:val="34"/>
    <w:pPr>
      <w:ind w:firstLine="420" w:firstLineChars="200"/>
    </w:pPr>
  </w:style>
  <w:style w:type="paragraph" w:customStyle="1" w:styleId="20">
    <w:name w:val="Table Paragraph"/>
    <w:basedOn w:val="1"/>
    <w:qFormat/>
    <w:uiPriority w:val="0"/>
    <w:pPr>
      <w:spacing w:after="160" w:line="259" w:lineRule="auto"/>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2021-11-03T07:41:00Z</cp:lastPrinted>
  <dcterms:modified xsi:type="dcterms:W3CDTF">2021-12-24T06:48:07Z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917DC7F26E03424499C35F4B0A96CE3C</vt:lpwstr>
  </property>
</Properties>
</file>